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1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0"/>
            </w:pPr>
            <w:r/>
            <w:r/>
          </w:p>
          <w:p>
            <w:pPr>
              <w:pStyle w:val="7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0"/>
              <w:jc w:val="center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</w:pPr>
            <w:r/>
            <w:r/>
          </w:p>
          <w:p>
            <w:pPr>
              <w:pStyle w:val="670"/>
              <w:ind w:left="-113"/>
            </w:pPr>
            <w:r>
              <w:t xml:space="preserve">31 июля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                        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№1030</w:t>
            </w:r>
            <w:r/>
            <w:r/>
          </w:p>
          <w:p>
            <w:pPr>
              <w:pStyle w:val="670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0"/>
              <w:jc w:val="center"/>
            </w:pPr>
            <w:r/>
            <w:r/>
          </w:p>
        </w:tc>
      </w:tr>
    </w:tbl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субсидии юридиче</w:t>
      </w:r>
      <w:r>
        <w:rPr>
          <w:rFonts w:ascii="Times New Roman" w:hAnsi="Times New Roman" w:cs="Times New Roman"/>
          <w:sz w:val="24"/>
          <w:szCs w:val="24"/>
        </w:rPr>
        <w:t xml:space="preserve">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714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pStyle w:val="670"/>
        <w:ind w:right="6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внедрения муниципального заказа на оказание муниципальных услуг в  сфере образования, в соответствии с частью 2 статьи 22 </w:t>
      </w:r>
      <w:r>
        <w:rPr>
          <w:sz w:val="28"/>
          <w:szCs w:val="28"/>
          <w:lang w:eastAsia="en-US"/>
        </w:rPr>
        <w:t xml:space="preserve"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  <w:lang w:eastAsia="en-US"/>
        </w:rPr>
        <w:t xml:space="preserve"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eastAsia="en-US"/>
        </w:rPr>
        <w:t xml:space="preserve">, частью 2 статьи 78.4 Бюджетного кодекса Российской Федерации, </w:t>
      </w:r>
      <w:r>
        <w:rPr>
          <w:color w:val="000000"/>
          <w:sz w:val="28"/>
          <w:szCs w:val="28"/>
        </w:rPr>
        <w:t xml:space="preserve">руководствуясь статьями 26, 38 Устава города Сосновоборска Красноярского края, </w:t>
      </w:r>
      <w:r/>
    </w:p>
    <w:p>
      <w:pPr>
        <w:pStyle w:val="670"/>
        <w:tabs>
          <w:tab w:val="left" w:pos="1134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70"/>
        <w:tabs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Утвердить прилагаемый Порядок </w:t>
      </w:r>
      <w:r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>
        <w:rPr>
          <w:sz w:val="28"/>
          <w:szCs w:val="28"/>
          <w:lang w:eastAsia="en-US"/>
        </w:rPr>
        <w:t xml:space="preserve">муниципальных</w:t>
      </w:r>
      <w:r>
        <w:rPr>
          <w:sz w:val="28"/>
          <w:szCs w:val="28"/>
        </w:rPr>
        <w:t xml:space="preserve"> услуг в социальной сфере в соответствии с социальным сертификатом согласно приложению.</w:t>
      </w:r>
      <w:r>
        <w:rPr>
          <w:sz w:val="28"/>
          <w:szCs w:val="28"/>
          <w:lang w:eastAsia="en-US"/>
        </w:rPr>
      </w:r>
      <w:r/>
    </w:p>
    <w:p>
      <w:pPr>
        <w:pStyle w:val="67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</w:t>
      </w:r>
      <w:r>
        <w:rPr>
          <w:sz w:val="28"/>
          <w:szCs w:val="28"/>
          <w:lang w:eastAsia="ar-SA"/>
        </w:rPr>
        <w:t xml:space="preserve">остановление вступает в силу </w:t>
      </w:r>
      <w:r>
        <w:rPr>
          <w:sz w:val="28"/>
          <w:szCs w:val="28"/>
          <w:lang w:eastAsia="ar-SA"/>
        </w:rPr>
        <w:t xml:space="preserve">после</w:t>
      </w:r>
      <w:r>
        <w:rPr>
          <w:sz w:val="28"/>
          <w:szCs w:val="28"/>
          <w:lang w:eastAsia="ar-SA"/>
        </w:rPr>
        <w:t xml:space="preserve"> официального опубликования</w:t>
      </w:r>
      <w:r>
        <w:rPr>
          <w:sz w:val="28"/>
          <w:szCs w:val="28"/>
          <w:lang w:eastAsia="ar-SA"/>
        </w:rPr>
        <w:t xml:space="preserve"> в городской газете «Рабочий»</w:t>
      </w:r>
      <w:r>
        <w:rPr>
          <w:sz w:val="28"/>
          <w:szCs w:val="28"/>
          <w:lang w:eastAsia="ar-SA"/>
        </w:rPr>
        <w:t xml:space="preserve">.</w:t>
      </w:r>
      <w:r/>
    </w:p>
    <w:p>
      <w:pPr>
        <w:pStyle w:val="670"/>
        <w:ind w:firstLine="709"/>
        <w:jc w:val="both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по социальным вопросам </w:t>
      </w:r>
      <w:r>
        <w:rPr>
          <w:sz w:val="28"/>
          <w:szCs w:val="28"/>
          <w:lang w:eastAsia="en-US"/>
        </w:rPr>
        <w:t xml:space="preserve">(</w:t>
      </w:r>
      <w:r>
        <w:rPr>
          <w:sz w:val="28"/>
          <w:szCs w:val="28"/>
          <w:lang w:eastAsia="en-US"/>
        </w:rPr>
        <w:t xml:space="preserve">Е.О. Романенко.</w:t>
      </w:r>
      <w:r>
        <w:rPr>
          <w:sz w:val="28"/>
          <w:szCs w:val="28"/>
          <w:lang w:eastAsia="en-US"/>
        </w:rPr>
        <w:t xml:space="preserve">).</w:t>
      </w:r>
      <w:r>
        <w:rPr>
          <w:color w:val="000000"/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70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1"/>
        <w:jc w:val="right"/>
        <w:outlineLvl w:val="0"/>
      </w:pPr>
      <w:r/>
      <w:bookmarkStart w:id="0" w:name="bookmark3"/>
      <w:r>
        <w:t xml:space="preserve">Приложение </w:t>
      </w:r>
      <w:r/>
    </w:p>
    <w:p>
      <w:pPr>
        <w:pStyle w:val="691"/>
        <w:jc w:val="right"/>
      </w:pPr>
      <w:r>
        <w:t xml:space="preserve">к постановлению администрации города</w:t>
      </w:r>
      <w:r>
        <w:t xml:space="preserve"> </w:t>
      </w:r>
      <w:r/>
    </w:p>
    <w:p>
      <w:pPr>
        <w:pStyle w:val="691"/>
        <w:jc w:val="right"/>
      </w:pPr>
      <w:r>
        <w:t xml:space="preserve">Сосновоборска</w:t>
      </w:r>
      <w:r>
        <w:t xml:space="preserve"> от 31.07.2023 </w:t>
      </w:r>
      <w:r>
        <w:t xml:space="preserve"> №1030</w:t>
      </w:r>
      <w:r/>
    </w:p>
    <w:p>
      <w:pPr>
        <w:pStyle w:val="691"/>
        <w:jc w:val="right"/>
      </w:pPr>
      <w:r/>
      <w:r/>
    </w:p>
    <w:p>
      <w:pPr>
        <w:pStyle w:val="691"/>
        <w:jc w:val="right"/>
      </w:pPr>
      <w:r/>
      <w:r/>
    </w:p>
    <w:p>
      <w:pPr>
        <w:pStyle w:val="695"/>
        <w:jc w:val="center"/>
        <w:rPr>
          <w:rFonts w:ascii="Times New Roman" w:hAnsi="Times New Roman" w:cs="Times New Roman"/>
          <w:bCs w:val="0"/>
          <w:caps/>
          <w:sz w:val="26"/>
          <w:szCs w:val="26"/>
        </w:rPr>
      </w:pPr>
      <w:r/>
      <w:bookmarkEnd w:id="0"/>
      <w:r>
        <w:rPr>
          <w:rFonts w:ascii="Times New Roman" w:hAnsi="Times New Roman" w:cs="Times New Roman"/>
          <w:caps/>
          <w:sz w:val="26"/>
          <w:szCs w:val="26"/>
        </w:rPr>
        <w:t xml:space="preserve">Порядок</w:t>
      </w:r>
      <w:r>
        <w:rPr>
          <w:rFonts w:ascii="Times New Roman" w:hAnsi="Times New Roman" w:cs="Times New Roman"/>
          <w:bCs w:val="0"/>
          <w:caps/>
          <w:sz w:val="26"/>
          <w:szCs w:val="26"/>
        </w:rPr>
      </w:r>
      <w:r/>
    </w:p>
    <w:p>
      <w:pPr>
        <w:pStyle w:val="695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  <w:br w:type="textWrapping" w:clear="all"/>
        <w:t xml:space="preserve">с оказанием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</w:t>
        <w:br w:type="textWrapping" w:clear="all"/>
        <w:t xml:space="preserve">с социальным сертификатом </w:t>
      </w:r>
      <w:r>
        <w:rPr>
          <w:rFonts w:ascii="Times New Roman" w:hAnsi="Times New Roman" w:cs="Times New Roman"/>
          <w:bCs w:val="0"/>
          <w:sz w:val="26"/>
          <w:szCs w:val="26"/>
        </w:rPr>
      </w:r>
      <w:r/>
    </w:p>
    <w:p>
      <w:pPr>
        <w:pStyle w:val="67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ind w:firstLine="567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  <w:vertAlign w:val="superscript"/>
        </w:rPr>
        <w:t xml:space="preserve"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>
        <w:rPr>
          <w:rFonts w:ascii="Times New Roman" w:hAnsi="Times New Roman" w:cs="Times New Roman"/>
          <w:b w:val="0"/>
          <w:i/>
          <w:sz w:val="26"/>
          <w:szCs w:val="26"/>
        </w:rPr>
      </w:r>
      <w:r/>
    </w:p>
    <w:p>
      <w:pPr>
        <w:pStyle w:val="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</w:t>
      </w:r>
      <w:r>
        <w:rPr>
          <w:sz w:val="26"/>
          <w:szCs w:val="26"/>
        </w:rPr>
        <w:t xml:space="preserve">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</w:t>
      </w:r>
      <w:r/>
    </w:p>
    <w:p>
      <w:pPr>
        <w:pStyle w:val="67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 Предоставление субсидии осуществляется в пределах бюджетных ассигнований, предусмотренных решением Сосновоборского г</w:t>
      </w:r>
      <w:r>
        <w:rPr>
          <w:i/>
          <w:iCs/>
          <w:sz w:val="26"/>
          <w:szCs w:val="26"/>
        </w:rPr>
        <w:t xml:space="preserve">ородского Совета депутатов о местном бюджете города Сосновоборска на текущий финансовый год и плановый период </w:t>
      </w:r>
      <w:r>
        <w:rPr>
          <w:sz w:val="26"/>
          <w:szCs w:val="26"/>
        </w:rPr>
        <w:t xml:space="preserve">и доведенных на цели, указанные в пункте 2 настоящего Порядка, </w:t>
      </w:r>
      <w:r>
        <w:rPr>
          <w:i/>
          <w:sz w:val="26"/>
          <w:szCs w:val="26"/>
        </w:rPr>
        <w:t xml:space="preserve">Управлению образования администрации города Сосновоборска</w:t>
      </w:r>
      <w:r>
        <w:rPr>
          <w:i/>
          <w:color w:val="000000"/>
          <w:sz w:val="26"/>
          <w:szCs w:val="26"/>
        </w:rPr>
        <w:t xml:space="preserve">, являющемуся уполномоченным органом </w:t>
      </w:r>
      <w:r>
        <w:rPr>
          <w:sz w:val="26"/>
          <w:szCs w:val="26"/>
        </w:rPr>
        <w:t xml:space="preserve">(далее – уполномоченный орган) лимитов бюджетных обязательств.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Результатом предоставления субсидии является оказание в соответствии с </w:t>
      </w:r>
      <w:r>
        <w:rPr>
          <w:iCs/>
          <w:sz w:val="26"/>
          <w:szCs w:val="26"/>
        </w:rPr>
        <w:t xml:space="preserve">Требованиями к условиям и порядку оказания муниципальной услуги «Реализация дополнительных общеразвивающих программ» утвержденным приказом Управления образования администрации города Сосновоборска (далее – Требования к условиям и порядку)</w:t>
      </w:r>
      <w:r>
        <w:rPr>
          <w:i/>
          <w:sz w:val="26"/>
          <w:szCs w:val="26"/>
        </w:rPr>
        <w:t xml:space="preserve">,</w:t>
      </w:r>
      <w:r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  <w:r/>
    </w:p>
    <w:p>
      <w:pPr>
        <w:pStyle w:val="69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Размер субсидии, предоставляемый </w:t>
      </w:r>
      <w:r>
        <w:rPr>
          <w:sz w:val="26"/>
          <w:szCs w:val="26"/>
          <w:lang w:val="en-US"/>
        </w:rPr>
        <w:t xml:space="preserve">i</w:t>
      </w:r>
      <w:r>
        <w:rPr>
          <w:sz w:val="26"/>
          <w:szCs w:val="26"/>
        </w:rPr>
        <w:t xml:space="preserve">-му получателю субсидии </w:t>
      </w:r>
      <w:r>
        <w:rPr>
          <w:i/>
          <w:sz w:val="26"/>
          <w:szCs w:val="26"/>
        </w:rPr>
        <w:t xml:space="preserve">(</w:t>
      </w:r>
      <w:r>
        <w:rPr>
          <w:i/>
          <w:sz w:val="26"/>
          <w:szCs w:val="26"/>
          <w:lang w:val="en-US"/>
        </w:rPr>
        <w:t xml:space="preserve">Vi</w:t>
      </w:r>
      <w:r>
        <w:rPr>
          <w:i/>
          <w:sz w:val="26"/>
          <w:szCs w:val="26"/>
        </w:rPr>
        <w:t xml:space="preserve">) </w:t>
      </w:r>
      <w:r>
        <w:rPr>
          <w:sz w:val="26"/>
          <w:szCs w:val="26"/>
        </w:rPr>
        <w:t xml:space="preserve"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  <w:r/>
    </w:p>
    <w:p>
      <w:pPr>
        <w:pStyle w:val="69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1"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position w:val="-9"/>
          <w:sz w:val="26"/>
          <w:szCs w:val="26"/>
        </w:rPr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hint="default" w:ascii="Cambria Math"/>
                <w:i/>
              </w:rPr>
              <m:rPr/>
              <m:t>V</m:t>
            </m:r>
          </m:e>
          <m:sub>
            <m:r>
              <w:rPr>
                <w:rFonts w:hint="default" w:ascii="Cambria Math"/>
                <w:i/>
              </w:rPr>
              <m:rPr/>
              <m:t>i</m:t>
            </m:r>
          </m:sub>
        </m:sSub>
        <m:r>
          <w:rPr>
            <w:rFonts w:hint="default" w:ascii="Cambria Math"/>
            <w:i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/>
                <w:i/>
              </w:rPr>
            </m:ctrlPr>
          </m:naryPr>
          <m:sub>
            <m:r>
              <w:rPr>
                <w:rFonts w:hint="default" w:ascii="Cambria Math"/>
                <w:i/>
              </w:rPr>
              <m:rPr/>
              <m:t>j=1</m:t>
            </m:r>
          </m:sub>
          <m:sup>
            <m:r>
              <w:rPr>
                <w:rFonts w:hint="default" w:ascii="Cambria Math"/>
                <w:i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hint="default" w:ascii="Cambria Math"/>
                    <w:i/>
                  </w:rPr>
                  <m:rPr/>
                  <m:t>Q</m:t>
                </m:r>
              </m:e>
              <m:sub>
                <m:r>
                  <w:rPr>
                    <w:rFonts w:hint="default" w:ascii="Cambria Math"/>
                    <w:i/>
                  </w:rPr>
                  <m:rPr/>
                  <m:t>j</m:t>
                </m:r>
              </m:sub>
            </m:sSub>
            <m:r>
              <w:rPr>
                <w:rFonts w:hint="default" w:ascii="Cambria Math"/>
                <w:i/>
              </w:rPr>
              <m:rPr/>
              <m:t>*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hint="default" w:ascii="Cambria Math"/>
                    <w:i/>
                  </w:rPr>
                  <m:rPr/>
                  <m:t>P</m:t>
                </m:r>
              </m:e>
              <m:sub>
                <m:r>
                  <w:rPr>
                    <w:rFonts w:hint="default" w:ascii="Cambria Math"/>
                    <w:i/>
                  </w:rPr>
                  <m:rPr/>
                  <m:t>j</m:t>
                </m:r>
              </m:sub>
            </m:sSub>
            <m:r>
              <w:rPr>
                <w:rFonts w:hint="default" w:ascii="Cambria Math"/>
                <w:i/>
              </w:rPr>
              <m:rPr/>
              <m:t>,</m:t>
            </m:r>
          </m:e>
        </m:nary>
        <m:r>
          <w:rPr>
            <w:rFonts w:hint="default" w:ascii="Cambria Math"/>
            <w:i/>
          </w:rPr>
          <m:rPr/>
          <m:t> </m:t>
        </m:r>
      </m:oMath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где:</w:t>
      </w:r>
      <w:r/>
    </w:p>
    <w:p>
      <w:pPr>
        <w:pStyle w:val="670"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contextualSpacing/>
        <w:ind w:firstLine="709"/>
        <w:jc w:val="both"/>
        <w:spacing w:before="240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Q</w:t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– объем муниципальной услуги, оказываемой в соответствии с социальным сертификатом </w:t>
      </w:r>
      <w:r>
        <w:rPr>
          <w:i/>
          <w:iCs/>
          <w:sz w:val="26"/>
          <w:szCs w:val="26"/>
          <w:lang w:val="en-US"/>
        </w:rPr>
        <w:t xml:space="preserve">j</w:t>
      </w:r>
      <w:r>
        <w:rPr>
          <w:sz w:val="26"/>
          <w:szCs w:val="26"/>
        </w:rPr>
        <w:t xml:space="preserve">-му потребителю услуги;</w:t>
      </w:r>
      <w:r/>
    </w:p>
    <w:p>
      <w:pPr>
        <w:pStyle w:val="670"/>
        <w:contextualSpacing/>
        <w:ind w:firstLine="709"/>
        <w:jc w:val="both"/>
        <w:spacing w:before="240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P</w:t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1" w:name="_Hlk112233251"/>
      <w:r>
        <w:rPr>
          <w:sz w:val="26"/>
          <w:szCs w:val="26"/>
        </w:rPr>
        <w:t xml:space="preserve"> в соответствии с социальным сертификатом</w:t>
      </w:r>
      <w:bookmarkEnd w:id="1"/>
      <w:r>
        <w:rPr>
          <w:sz w:val="26"/>
          <w:szCs w:val="26"/>
        </w:rPr>
        <w:t xml:space="preserve">, утвержденного Уполномоченным органом;</w:t>
      </w:r>
      <w:r/>
    </w:p>
    <w:p>
      <w:pPr>
        <w:pStyle w:val="670"/>
        <w:ind w:firstLine="709"/>
        <w:jc w:val="both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n</w:t>
      </w:r>
      <w:r>
        <w:rPr>
          <w:color w:val="000000"/>
          <w:sz w:val="26"/>
          <w:szCs w:val="26"/>
        </w:rPr>
        <w:t xml:space="preserve"> – число потребителей, которым </w:t>
      </w:r>
      <w:r>
        <w:rPr>
          <w:sz w:val="26"/>
          <w:szCs w:val="26"/>
        </w:rPr>
        <w:t xml:space="preserve">муниципальная </w:t>
      </w:r>
      <w:r>
        <w:rPr>
          <w:color w:val="000000"/>
          <w:sz w:val="26"/>
          <w:szCs w:val="26"/>
        </w:rPr>
        <w:t xml:space="preserve">услуга в соответствии с социальным сертификатом оказывается </w:t>
      </w:r>
      <w:r>
        <w:rPr>
          <w:i/>
          <w:iCs/>
          <w:color w:val="000000"/>
          <w:sz w:val="26"/>
          <w:szCs w:val="26"/>
        </w:rPr>
        <w:t xml:space="preserve">i</w:t>
      </w:r>
      <w:r>
        <w:rPr>
          <w:color w:val="000000"/>
          <w:sz w:val="26"/>
          <w:szCs w:val="26"/>
        </w:rPr>
        <w:t xml:space="preserve">-м получателем субсидии.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субсидий, предоставля</w:t>
      </w:r>
      <w:r>
        <w:rPr>
          <w:sz w:val="26"/>
          <w:szCs w:val="26"/>
        </w:rPr>
        <w:t xml:space="preserve">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  <w:r/>
    </w:p>
    <w:p>
      <w:pPr>
        <w:pStyle w:val="68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  <w:r/>
    </w:p>
    <w:p>
      <w:pPr>
        <w:pStyle w:val="68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  <w:r/>
    </w:p>
    <w:p>
      <w:pPr>
        <w:pStyle w:val="686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</w:t>
      </w:r>
      <w:r>
        <w:rPr>
          <w:rFonts w:eastAsia="Calibri"/>
          <w:sz w:val="26"/>
          <w:szCs w:val="26"/>
        </w:rPr>
        <w:t xml:space="preserve">еречисление субсидии в течение IV квартала осуществляется:</w:t>
      </w:r>
      <w:r/>
    </w:p>
    <w:p>
      <w:pPr>
        <w:pStyle w:val="686"/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1) в октябре - ноябре - в сроки, установленные планом-графиком, в размере не более 2/3 остатка годового размера субсидии;</w:t>
      </w:r>
      <w:r>
        <w:rPr>
          <w:sz w:val="26"/>
          <w:szCs w:val="26"/>
        </w:rPr>
      </w:r>
      <w:r/>
    </w:p>
    <w:p>
      <w:pPr>
        <w:pStyle w:val="670"/>
        <w:contextualSpacing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>
        <w:rPr>
          <w:sz w:val="26"/>
          <w:szCs w:val="26"/>
        </w:rPr>
        <w:t xml:space="preserve">муниципальных </w:t>
      </w:r>
      <w:r>
        <w:rPr>
          <w:rFonts w:eastAsia="Calibri"/>
          <w:sz w:val="26"/>
          <w:szCs w:val="26"/>
        </w:rPr>
        <w:t xml:space="preserve">услуг за соответствующий финансовый год в сроки, установленные в соглашении, но не позднее 15 декабря текущего финансового года.</w:t>
      </w:r>
      <w:r/>
    </w:p>
    <w:p>
      <w:pPr>
        <w:pStyle w:val="67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Получатель субсидии </w:t>
      </w:r>
      <w:r>
        <w:rPr>
          <w:i/>
          <w:sz w:val="26"/>
          <w:szCs w:val="26"/>
        </w:rPr>
        <w:t xml:space="preserve">ежеквартально</w:t>
      </w:r>
      <w:r>
        <w:rPr>
          <w:sz w:val="26"/>
          <w:szCs w:val="26"/>
        </w:rPr>
        <w:t xml:space="preserve"> не позднее 10 рабочих дней, следующих за периодом, в ко</w:t>
      </w:r>
      <w:r>
        <w:rPr>
          <w:sz w:val="26"/>
          <w:szCs w:val="26"/>
        </w:rPr>
        <w:t xml:space="preserve">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  <w:r/>
    </w:p>
    <w:p>
      <w:pPr>
        <w:pStyle w:val="670"/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  <w:r/>
    </w:p>
    <w:p>
      <w:pPr>
        <w:pStyle w:val="670"/>
        <w:contextualSpacing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  <w:r/>
    </w:p>
    <w:p>
      <w:pPr>
        <w:pStyle w:val="67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  <w:r/>
    </w:p>
    <w:p>
      <w:pPr>
        <w:pStyle w:val="68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  <w:r/>
    </w:p>
    <w:p>
      <w:pPr>
        <w:pStyle w:val="67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10. Органы муниципального финансового контроля администрации города Сосновоборска </w:t>
      </w:r>
      <w:r>
        <w:rPr>
          <w:rFonts w:eastAsia="Calibri"/>
          <w:sz w:val="26"/>
          <w:szCs w:val="26"/>
        </w:rPr>
        <w:t xml:space="preserve">осуществляют контроль в соответствии со статьей 26 Федерального закона </w:t>
      </w:r>
      <w:r>
        <w:rPr>
          <w:sz w:val="26"/>
          <w:szCs w:val="26"/>
        </w:rPr>
        <w:t xml:space="preserve">№ 189-ФЗ</w:t>
      </w:r>
      <w:r>
        <w:rPr>
          <w:rFonts w:eastAsia="Calibri"/>
          <w:sz w:val="26"/>
          <w:szCs w:val="26"/>
        </w:rPr>
        <w:t xml:space="preserve">.</w:t>
      </w:r>
      <w:r/>
    </w:p>
    <w:p>
      <w:pPr>
        <w:pStyle w:val="68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>
        <w:rPr>
          <w:iCs/>
          <w:sz w:val="26"/>
          <w:szCs w:val="26"/>
        </w:rPr>
        <w:t xml:space="preserve">Требований к условиям и порядку</w:t>
      </w:r>
      <w:r>
        <w:rPr>
          <w:sz w:val="26"/>
          <w:szCs w:val="26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>
        <w:rPr>
          <w:i/>
          <w:iCs/>
          <w:sz w:val="26"/>
          <w:szCs w:val="26"/>
        </w:rPr>
        <w:t xml:space="preserve">бюджет</w:t>
      </w:r>
      <w:r>
        <w:rPr>
          <w:i/>
          <w:sz w:val="26"/>
          <w:szCs w:val="26"/>
        </w:rPr>
        <w:t xml:space="preserve"> города Сосновоборска</w:t>
      </w:r>
      <w:r>
        <w:rPr>
          <w:sz w:val="26"/>
          <w:szCs w:val="26"/>
        </w:rPr>
        <w:t xml:space="preserve"> в течение 10 календарных дней со дня завершения проверки в размере </w:t>
      </w:r>
      <w:r>
        <w:rPr>
          <w:i/>
          <w:sz w:val="26"/>
          <w:szCs w:val="26"/>
        </w:rPr>
        <w:t xml:space="preserve">(</w:t>
      </w:r>
      <w:r>
        <w:rPr>
          <w:i/>
          <w:sz w:val="26"/>
          <w:szCs w:val="26"/>
          <w:lang w:val="en-US"/>
        </w:rPr>
        <w:t xml:space="preserve">R</w:t>
      </w:r>
      <w:r>
        <w:rPr>
          <w:i/>
          <w:sz w:val="26"/>
          <w:szCs w:val="26"/>
        </w:rPr>
        <w:t xml:space="preserve">)</w:t>
      </w:r>
      <w:r>
        <w:rPr>
          <w:sz w:val="26"/>
          <w:szCs w:val="26"/>
        </w:rPr>
        <w:t xml:space="preserve">, рассчитанным по формуле:</w:t>
      </w:r>
      <w:r/>
    </w:p>
    <w:p>
      <w:pPr>
        <w:pStyle w:val="686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1"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position w:val="-9"/>
          <w:sz w:val="26"/>
          <w:szCs w:val="26"/>
        </w:rPr>
      </w:r>
      <m:oMath>
        <m:r>
          <w:rPr>
            <w:rFonts w:hint="default" w:ascii="Cambria Math"/>
            <w:i/>
          </w:rPr>
          <m:rPr/>
          <m:t>R</m:t>
        </m:r>
        <m:r>
          <w:rPr>
            <w:rFonts w:hint="default" w:ascii="Cambria Math"/>
            <w:i/>
          </w:rPr>
          <m:rPr/>
          <m:t>=</m:t>
        </m:r>
        <m:nary>
          <m:naryPr>
            <m:chr m:val="∑"/>
            <m:grow m:val="off"/>
            <m:limLoc m:val="undOvr"/>
            <m:ctrlPr>
              <w:rPr>
                <w:rFonts w:ascii="Cambria Math"/>
                <w:i/>
              </w:rPr>
            </m:ctrlPr>
          </m:naryPr>
          <m:sub>
            <m:r>
              <w:rPr>
                <w:rFonts w:hint="default" w:ascii="Cambria Math"/>
                <w:i/>
              </w:rPr>
              <m:rPr/>
              <m:t>j=1</m:t>
            </m:r>
          </m:sub>
          <m:sup>
            <m:r>
              <w:rPr>
                <w:rFonts w:hint="default" w:ascii="Cambria Math"/>
                <w:i/>
              </w:rPr>
              <m:rPr/>
              <m:t>n</m:t>
            </m:r>
          </m:sup>
          <m:e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/>
                        <w:i/>
                      </w:rPr>
                    </m:ctrlPr>
                  </m:accPr>
                  <m:e>
                    <m:r>
                      <w:rPr>
                        <w:rFonts w:hint="default" w:ascii="Cambria Math"/>
                        <w:i/>
                      </w:rPr>
                      <m:rPr/>
                      <m:t>Q</m:t>
                    </m:r>
                  </m:e>
                </m:acc>
              </m:e>
              <m:sub>
                <m:r>
                  <w:rPr>
                    <w:rFonts w:hint="default" w:ascii="Cambria Math"/>
                    <w:i/>
                  </w:rPr>
                  <m:rPr/>
                  <m:t>j</m:t>
                </m:r>
              </m:sub>
            </m:sSub>
            <m:r>
              <w:rPr>
                <w:rFonts w:hint="default" w:ascii="Cambria Math"/>
                <w:i/>
              </w:rPr>
              <m:rPr/>
              <m:t>*</m:t>
            </m:r>
            <m:sSub>
              <m:sSubPr>
                <m:ctrlPr>
                  <w:rPr>
                    <w:rFonts w:ascii="Cambria Math"/>
                    <w:i/>
                  </w:rPr>
                </m:ctrlPr>
              </m:sSubPr>
              <m:e>
                <m:r>
                  <w:rPr>
                    <w:rFonts w:hint="default" w:ascii="Cambria Math"/>
                    <w:i/>
                  </w:rPr>
                  <m:rPr/>
                  <m:t>P</m:t>
                </m:r>
              </m:e>
              <m:sub>
                <m:r>
                  <w:rPr>
                    <w:rFonts w:hint="default" w:ascii="Cambria Math"/>
                    <w:i/>
                  </w:rPr>
                  <m:rPr/>
                  <m:t>j</m:t>
                </m:r>
              </m:sub>
            </m:sSub>
            <m:r>
              <w:rPr>
                <w:rFonts w:hint="default" w:ascii="Cambria Math"/>
                <w:i/>
              </w:rPr>
              <m:rPr/>
              <m:t> ,</m:t>
            </m:r>
          </m:e>
        </m:nary>
      </m:oMath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t xml:space="preserve"> где:</w:t>
      </w:r>
      <w:r/>
    </w:p>
    <w:p>
      <w:pPr>
        <w:pStyle w:val="691"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0"/>
        <w:contextualSpacing/>
        <w:ind w:firstLine="709"/>
        <w:jc w:val="both"/>
        <w:tabs>
          <w:tab w:val="left" w:pos="993" w:leader="none"/>
        </w:tabs>
        <w:rPr>
          <w:sz w:val="26"/>
          <w:szCs w:val="26"/>
        </w:rPr>
      </w:pPr>
      <w:r>
        <w:rPr>
          <w:position w:val="-5"/>
          <w:sz w:val="26"/>
          <w:szCs w:val="26"/>
          <w:vertAlign w:val="subscript"/>
          <w:lang w:val="en-US"/>
        </w:rPr>
      </w:r>
      <m:oMath>
        <m:acc>
          <m:accPr>
            <m:chr m:val="̅"/>
            <m:ctrlPr>
              <w:rPr>
                <w:rFonts w:ascii="Cambria Math"/>
                <w:i/>
                <w:vertAlign w:val="subscript"/>
              </w:rPr>
            </m:ctrlPr>
          </m:accPr>
          <m:e>
            <m:r>
              <w:rPr>
                <w:rFonts w:hint="default" w:ascii="Cambria Math"/>
                <w:i/>
                <w:vertAlign w:val="subscript"/>
              </w:rPr>
              <m:rPr/>
              <m:t>Q</m:t>
            </m:r>
          </m:e>
        </m:acc>
      </m:oMath>
      <w:r>
        <w:rPr>
          <w:position w:val="-5"/>
          <w:sz w:val="26"/>
          <w:szCs w:val="26"/>
        </w:rPr>
      </w:r>
      <m:oMath>
        <m:acc>
          <m:accPr>
            <m:chr m:val="̅"/>
            <m:ctrlPr>
              <w:rPr>
                <w:rFonts w:ascii="Cambria Math"/>
                <w:i/>
                <w:vertAlign w:val="subscript"/>
              </w:rPr>
            </m:ctrlPr>
          </m:accPr>
          <m:e>
            <m:r>
              <w:rPr>
                <w:rFonts w:hint="default" w:ascii="Cambria Math"/>
                <w:i/>
                <w:vertAlign w:val="subscript"/>
              </w:rPr>
              <m:rPr/>
              <m:t>Q</m:t>
            </m:r>
          </m:e>
        </m:acc>
      </m:oMath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  <w:vertAlign w:val="subscript"/>
          <w:lang w:val="en-US"/>
        </w:rPr>
        <w:fldChar w:fldCharType="separate"/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>
        <w:rPr>
          <w:iCs/>
          <w:sz w:val="26"/>
          <w:szCs w:val="26"/>
        </w:rPr>
        <w:t xml:space="preserve">Требований к условиям и порядку </w:t>
      </w:r>
      <w:r>
        <w:rPr>
          <w:i/>
          <w:iCs/>
          <w:sz w:val="26"/>
          <w:szCs w:val="26"/>
          <w:lang w:val="en-US"/>
        </w:rPr>
        <w:t xml:space="preserve">j</w:t>
      </w:r>
      <w:r>
        <w:rPr>
          <w:sz w:val="26"/>
          <w:szCs w:val="26"/>
        </w:rPr>
        <w:t xml:space="preserve">-му потребителю услуги;</w:t>
      </w:r>
      <w:r/>
    </w:p>
    <w:p>
      <w:pPr>
        <w:pStyle w:val="670"/>
        <w:contextualSpacing/>
        <w:ind w:firstLine="709"/>
        <w:jc w:val="both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sz w:val="26"/>
          <w:szCs w:val="26"/>
          <w:lang w:val="en-US"/>
        </w:rPr>
        <w:t xml:space="preserve">P</w:t>
      </w:r>
      <w:r>
        <w:rPr>
          <w:sz w:val="26"/>
          <w:szCs w:val="26"/>
          <w:vertAlign w:val="subscript"/>
          <w:lang w:val="en-US"/>
        </w:rPr>
        <w:t xml:space="preserve">j</w:t>
      </w:r>
      <w:r>
        <w:rPr>
          <w:sz w:val="26"/>
          <w:szCs w:val="26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>
        <w:rPr>
          <w:color w:val="000000"/>
          <w:sz w:val="26"/>
          <w:szCs w:val="26"/>
        </w:rPr>
        <w:t xml:space="preserve">утвержденного </w:t>
      </w:r>
      <w:r>
        <w:rPr>
          <w:sz w:val="26"/>
          <w:szCs w:val="26"/>
        </w:rPr>
        <w:t xml:space="preserve">Уполномоченным органом; </w:t>
      </w:r>
      <w:r>
        <w:rPr>
          <w:color w:val="000000"/>
          <w:sz w:val="26"/>
          <w:szCs w:val="26"/>
        </w:rPr>
      </w:r>
      <w:r/>
    </w:p>
    <w:p>
      <w:pPr>
        <w:pStyle w:val="670"/>
        <w:contextualSpacing/>
        <w:ind w:firstLine="709"/>
        <w:jc w:val="both"/>
        <w:tabs>
          <w:tab w:val="left" w:pos="993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 xml:space="preserve">n</w:t>
      </w:r>
      <w:r>
        <w:rPr>
          <w:color w:val="000000"/>
          <w:sz w:val="26"/>
          <w:szCs w:val="26"/>
        </w:rPr>
        <w:t xml:space="preserve"> – число потребителей, которым </w:t>
      </w:r>
      <w:r>
        <w:rPr>
          <w:sz w:val="26"/>
          <w:szCs w:val="26"/>
        </w:rPr>
        <w:t xml:space="preserve">муниципальная </w:t>
      </w:r>
      <w:r>
        <w:rPr>
          <w:color w:val="000000"/>
          <w:sz w:val="26"/>
          <w:szCs w:val="26"/>
        </w:rPr>
        <w:t xml:space="preserve">услуга </w:t>
      </w:r>
      <w:r>
        <w:rPr>
          <w:sz w:val="26"/>
          <w:szCs w:val="26"/>
        </w:rPr>
        <w:t xml:space="preserve">в соответствии с социальным сертификатом </w:t>
      </w:r>
      <w:r>
        <w:rPr>
          <w:b/>
          <w:sz w:val="26"/>
          <w:szCs w:val="26"/>
          <w:u w:val="single"/>
        </w:rPr>
        <w:t xml:space="preserve">не </w:t>
      </w:r>
      <w:r>
        <w:rPr>
          <w:b/>
          <w:color w:val="000000"/>
          <w:sz w:val="26"/>
          <w:szCs w:val="26"/>
          <w:u w:val="single"/>
        </w:rPr>
        <w:t xml:space="preserve">оказана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i</w:t>
      </w:r>
      <w:r>
        <w:rPr>
          <w:color w:val="000000"/>
          <w:sz w:val="26"/>
          <w:szCs w:val="26"/>
        </w:rPr>
        <w:t xml:space="preserve">-м получателем субсидии.</w:t>
      </w:r>
      <w:r/>
    </w:p>
    <w:p>
      <w:pPr>
        <w:pStyle w:val="68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Не использованные в отчетном финансовом году остатки субсидий, предоставляемые в соответствии с соглашениям</w:t>
      </w:r>
      <w:r>
        <w:rPr>
          <w:sz w:val="26"/>
          <w:szCs w:val="26"/>
        </w:rPr>
        <w:t xml:space="preserve">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>
        <w:rPr>
          <w:iCs/>
          <w:sz w:val="26"/>
          <w:szCs w:val="26"/>
        </w:rPr>
        <w:t xml:space="preserve"> Требованиями к условиям и порядку</w:t>
      </w:r>
      <w:r>
        <w:rPr>
          <w:sz w:val="26"/>
          <w:szCs w:val="26"/>
        </w:rPr>
        <w:t xml:space="preserve">.</w:t>
      </w:r>
      <w:r/>
    </w:p>
    <w:p>
      <w:pPr>
        <w:pStyle w:val="68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П</w:t>
      </w:r>
      <w:r>
        <w:rPr>
          <w:sz w:val="26"/>
          <w:szCs w:val="26"/>
        </w:rPr>
        <w:t xml:space="preserve">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>
        <w:rPr>
          <w:i/>
          <w:iCs/>
          <w:sz w:val="26"/>
          <w:szCs w:val="26"/>
        </w:rPr>
        <w:t xml:space="preserve">бюджет</w:t>
      </w:r>
      <w:r>
        <w:rPr>
          <w:i/>
          <w:sz w:val="26"/>
          <w:szCs w:val="26"/>
        </w:rPr>
        <w:t xml:space="preserve"> города Сосновоборска</w:t>
      </w:r>
      <w:r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  <w:r/>
    </w:p>
    <w:p>
      <w:pPr>
        <w:pStyle w:val="6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mbria Math">
    <w:panose1 w:val="020405030504060302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0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0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0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8"/>
      <w:isLgl w:val="false"/>
      <w:suff w:val="tab"/>
      <w:lvlText w:val=""/>
      <w:lvlJc w:val="left"/>
      <w:pPr>
        <w:pStyle w:val="670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0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927" w:hanging="360"/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4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327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0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0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8040" w:hanging="180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70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0"/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0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0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0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0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0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0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0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0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0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0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0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0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0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0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0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0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0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0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0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6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688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0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0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0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0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0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0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0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0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0"/>
        <w:ind w:left="657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0"/>
      </w:pPr>
    </w:lvl>
    <w:lvl w:ilvl="2">
      <w:start w:val="0"/>
      <w:numFmt w:val="decimal"/>
      <w:isLgl w:val="false"/>
      <w:suff w:val="tab"/>
      <w:lvlText w:val=""/>
      <w:lvlJc w:val="left"/>
      <w:pPr>
        <w:pStyle w:val="670"/>
      </w:pPr>
    </w:lvl>
    <w:lvl w:ilvl="3">
      <w:start w:val="0"/>
      <w:numFmt w:val="decimal"/>
      <w:isLgl w:val="false"/>
      <w:suff w:val="tab"/>
      <w:lvlText w:val=""/>
      <w:lvlJc w:val="left"/>
      <w:pPr>
        <w:pStyle w:val="670"/>
      </w:pPr>
    </w:lvl>
    <w:lvl w:ilvl="4">
      <w:start w:val="0"/>
      <w:numFmt w:val="decimal"/>
      <w:isLgl w:val="false"/>
      <w:suff w:val="tab"/>
      <w:lvlText w:val=""/>
      <w:lvlJc w:val="left"/>
      <w:pPr>
        <w:pStyle w:val="670"/>
      </w:pPr>
    </w:lvl>
    <w:lvl w:ilvl="5">
      <w:start w:val="0"/>
      <w:numFmt w:val="decimal"/>
      <w:isLgl w:val="false"/>
      <w:suff w:val="tab"/>
      <w:lvlText w:val=""/>
      <w:lvlJc w:val="left"/>
      <w:pPr>
        <w:pStyle w:val="670"/>
      </w:pPr>
    </w:lvl>
    <w:lvl w:ilvl="6">
      <w:start w:val="0"/>
      <w:numFmt w:val="decimal"/>
      <w:isLgl w:val="false"/>
      <w:suff w:val="tab"/>
      <w:lvlText w:val=""/>
      <w:lvlJc w:val="left"/>
      <w:pPr>
        <w:pStyle w:val="670"/>
      </w:pPr>
    </w:lvl>
    <w:lvl w:ilvl="7">
      <w:start w:val="0"/>
      <w:numFmt w:val="decimal"/>
      <w:isLgl w:val="false"/>
      <w:suff w:val="tab"/>
      <w:lvlText w:val=""/>
      <w:lvlJc w:val="left"/>
      <w:pPr>
        <w:pStyle w:val="670"/>
      </w:pPr>
    </w:lvl>
    <w:lvl w:ilvl="8">
      <w:start w:val="0"/>
      <w:numFmt w:val="decimal"/>
      <w:isLgl w:val="false"/>
      <w:suff w:val="tab"/>
      <w:lvlText w:val=""/>
      <w:lvlJc w:val="left"/>
      <w:pPr>
        <w:pStyle w:val="670"/>
      </w:pPr>
    </w:lvl>
  </w:abstractNum>
  <w:num w:numId="1">
    <w:abstractNumId w:val="8"/>
  </w:num>
  <w:num w:numId="2">
    <w:abstractNumId w:val="23"/>
  </w:num>
  <w:num w:numId="3">
    <w:abstractNumId w:val="29"/>
  </w:num>
  <w:num w:numId="4">
    <w:abstractNumId w:val="32"/>
  </w:num>
  <w:num w:numId="5">
    <w:abstractNumId w:val="16"/>
  </w:num>
  <w:num w:numId="6">
    <w:abstractNumId w:val="3"/>
  </w:num>
  <w:num w:numId="7">
    <w:abstractNumId w:val="19"/>
  </w:num>
  <w:num w:numId="8">
    <w:abstractNumId w:val="34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10"/>
  </w:num>
  <w:num w:numId="14">
    <w:abstractNumId w:val="18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3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2"/>
  </w:num>
  <w:num w:numId="24">
    <w:abstractNumId w:val="31"/>
  </w:num>
  <w:num w:numId="25">
    <w:abstractNumId w:val="3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1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0"/>
    <w:next w:val="67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0"/>
    <w:next w:val="67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0"/>
    <w:next w:val="67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0"/>
    <w:next w:val="67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0"/>
    <w:next w:val="67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0"/>
    <w:next w:val="67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0"/>
    <w:next w:val="67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0"/>
    <w:next w:val="67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0"/>
    <w:next w:val="67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0"/>
    <w:next w:val="67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0"/>
    <w:next w:val="67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0"/>
    <w:next w:val="67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0"/>
    <w:next w:val="67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0"/>
    <w:next w:val="67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0"/>
    <w:next w:val="67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0"/>
    <w:next w:val="67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next w:val="670"/>
    <w:link w:val="670"/>
    <w:qFormat/>
    <w:rPr>
      <w:sz w:val="24"/>
      <w:szCs w:val="24"/>
      <w:lang w:val="ru-RU" w:eastAsia="ru-RU" w:bidi="ar-SA"/>
    </w:rPr>
  </w:style>
  <w:style w:type="paragraph" w:styleId="671">
    <w:name w:val="Заголовок 1"/>
    <w:basedOn w:val="670"/>
    <w:next w:val="670"/>
    <w:link w:val="707"/>
    <w:qFormat/>
    <w:pPr>
      <w:jc w:val="center"/>
      <w:keepNext/>
      <w:outlineLvl w:val="0"/>
    </w:pPr>
    <w:rPr>
      <w:b/>
      <w:sz w:val="22"/>
      <w:szCs w:val="20"/>
    </w:rPr>
  </w:style>
  <w:style w:type="paragraph" w:styleId="672">
    <w:name w:val="Заголовок 2"/>
    <w:basedOn w:val="670"/>
    <w:next w:val="670"/>
    <w:link w:val="710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3">
    <w:name w:val="Заголовок 3"/>
    <w:basedOn w:val="670"/>
    <w:next w:val="670"/>
    <w:link w:val="697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4">
    <w:name w:val="Заголовок 4"/>
    <w:basedOn w:val="670"/>
    <w:next w:val="670"/>
    <w:link w:val="726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5">
    <w:name w:val="Заголовок 5"/>
    <w:basedOn w:val="670"/>
    <w:next w:val="670"/>
    <w:link w:val="727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6">
    <w:name w:val="Заголовок 6"/>
    <w:basedOn w:val="670"/>
    <w:next w:val="670"/>
    <w:link w:val="728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7">
    <w:name w:val="Заголовок 7"/>
    <w:basedOn w:val="670"/>
    <w:next w:val="670"/>
    <w:link w:val="729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8">
    <w:name w:val="Заголовок 8"/>
    <w:basedOn w:val="670"/>
    <w:next w:val="670"/>
    <w:link w:val="73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9">
    <w:name w:val="Заголовок 9"/>
    <w:basedOn w:val="670"/>
    <w:next w:val="670"/>
    <w:link w:val="731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0">
    <w:name w:val="Основной шрифт абзаца"/>
    <w:next w:val="680"/>
    <w:link w:val="670"/>
    <w:semiHidden/>
  </w:style>
  <w:style w:type="table" w:styleId="681">
    <w:name w:val="Обычная таблица"/>
    <w:next w:val="681"/>
    <w:link w:val="670"/>
    <w:semiHidden/>
    <w:tblPr/>
  </w:style>
  <w:style w:type="numbering" w:styleId="682">
    <w:name w:val="Нет списка"/>
    <w:next w:val="682"/>
    <w:link w:val="670"/>
    <w:uiPriority w:val="99"/>
    <w:semiHidden/>
  </w:style>
  <w:style w:type="table" w:styleId="683">
    <w:name w:val="Сетка таблицы"/>
    <w:basedOn w:val="681"/>
    <w:next w:val="683"/>
    <w:link w:val="670"/>
    <w:tblPr/>
  </w:style>
  <w:style w:type="character" w:styleId="684">
    <w:name w:val="Гиперссылка"/>
    <w:next w:val="684"/>
    <w:link w:val="670"/>
    <w:uiPriority w:val="99"/>
    <w:rPr>
      <w:color w:val="0000ff"/>
      <w:u w:val="single"/>
    </w:rPr>
  </w:style>
  <w:style w:type="paragraph" w:styleId="685">
    <w:name w:val="Текст выноски"/>
    <w:basedOn w:val="670"/>
    <w:next w:val="685"/>
    <w:link w:val="721"/>
    <w:uiPriority w:val="99"/>
    <w:semiHidden/>
    <w:rPr>
      <w:rFonts w:ascii="Tahoma" w:hAnsi="Tahoma" w:cs="Tahoma"/>
      <w:sz w:val="16"/>
      <w:szCs w:val="16"/>
    </w:rPr>
  </w:style>
  <w:style w:type="paragraph" w:styleId="686">
    <w:name w:val="Абзац списка,мой"/>
    <w:basedOn w:val="670"/>
    <w:next w:val="686"/>
    <w:link w:val="776"/>
    <w:uiPriority w:val="34"/>
    <w:qFormat/>
    <w:pPr>
      <w:contextualSpacing/>
      <w:ind w:left="720"/>
    </w:pPr>
  </w:style>
  <w:style w:type="paragraph" w:styleId="687">
    <w:name w:val="Основной текст с отступом"/>
    <w:basedOn w:val="670"/>
    <w:next w:val="687"/>
    <w:link w:val="688"/>
    <w:uiPriority w:val="99"/>
    <w:unhideWhenUsed/>
    <w:pPr>
      <w:ind w:firstLine="708"/>
      <w:jc w:val="both"/>
    </w:pPr>
    <w:rPr>
      <w:lang w:val="en-US" w:eastAsia="en-US"/>
    </w:rPr>
  </w:style>
  <w:style w:type="character" w:styleId="688">
    <w:name w:val="Основной текст с отступом Знак"/>
    <w:next w:val="688"/>
    <w:link w:val="687"/>
    <w:uiPriority w:val="99"/>
    <w:rPr>
      <w:sz w:val="24"/>
      <w:szCs w:val="24"/>
      <w:lang w:val="en-US" w:eastAsia="en-US"/>
    </w:rPr>
  </w:style>
  <w:style w:type="paragraph" w:styleId="689">
    <w:name w:val="Основной текст"/>
    <w:basedOn w:val="670"/>
    <w:next w:val="689"/>
    <w:link w:val="690"/>
    <w:uiPriority w:val="99"/>
    <w:unhideWhenUsed/>
    <w:pPr>
      <w:spacing w:after="120"/>
    </w:pPr>
    <w:rPr>
      <w:lang w:val="en-US" w:eastAsia="en-US"/>
    </w:rPr>
  </w:style>
  <w:style w:type="character" w:styleId="690">
    <w:name w:val="Основной текст Знак"/>
    <w:next w:val="690"/>
    <w:link w:val="689"/>
    <w:uiPriority w:val="99"/>
    <w:rPr>
      <w:sz w:val="24"/>
      <w:szCs w:val="24"/>
    </w:rPr>
  </w:style>
  <w:style w:type="paragraph" w:styleId="691">
    <w:name w:val="ConsPlusNormal"/>
    <w:next w:val="691"/>
    <w:link w:val="698"/>
    <w:qFormat/>
    <w:rPr>
      <w:sz w:val="24"/>
      <w:szCs w:val="24"/>
      <w:lang w:val="ru-RU" w:eastAsia="ru-RU" w:bidi="ar-SA"/>
    </w:rPr>
  </w:style>
  <w:style w:type="character" w:styleId="692">
    <w:name w:val="Основной текст_"/>
    <w:next w:val="692"/>
    <w:link w:val="693"/>
    <w:rPr>
      <w:sz w:val="27"/>
      <w:szCs w:val="27"/>
      <w:shd w:val="clear" w:color="auto" w:fill="ffffff"/>
    </w:rPr>
  </w:style>
  <w:style w:type="paragraph" w:styleId="693">
    <w:name w:val="Основной текст1"/>
    <w:basedOn w:val="670"/>
    <w:next w:val="693"/>
    <w:link w:val="692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4">
    <w:name w:val="ConsPlusCell"/>
    <w:next w:val="694"/>
    <w:link w:val="670"/>
    <w:pPr>
      <w:widowControl w:val="off"/>
    </w:pPr>
    <w:rPr>
      <w:rFonts w:ascii="Arial" w:hAnsi="Arial" w:cs="Arial"/>
      <w:lang w:val="ru-RU" w:eastAsia="ru-RU" w:bidi="ar-SA"/>
    </w:rPr>
  </w:style>
  <w:style w:type="paragraph" w:styleId="695">
    <w:name w:val="ConsPlusTitle"/>
    <w:next w:val="695"/>
    <w:link w:val="670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6">
    <w:name w:val="ConsPlusNonformat"/>
    <w:next w:val="696"/>
    <w:link w:val="67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7">
    <w:name w:val="Заголовок 3 Знак"/>
    <w:next w:val="697"/>
    <w:link w:val="673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8">
    <w:name w:val="ConsPlusNormal Знак"/>
    <w:next w:val="698"/>
    <w:link w:val="691"/>
    <w:rPr>
      <w:sz w:val="24"/>
      <w:szCs w:val="24"/>
    </w:rPr>
  </w:style>
  <w:style w:type="character" w:styleId="699">
    <w:name w:val="Название Знак"/>
    <w:next w:val="699"/>
    <w:link w:val="670"/>
    <w:rPr>
      <w:rFonts w:ascii="Cambria" w:hAnsi="Cambria" w:eastAsia="Times New Roman" w:cs="Times New Roman"/>
      <w:b/>
      <w:bCs/>
      <w:sz w:val="32"/>
      <w:szCs w:val="32"/>
    </w:rPr>
  </w:style>
  <w:style w:type="paragraph" w:styleId="700">
    <w:name w:val="Заголовок"/>
    <w:basedOn w:val="670"/>
    <w:next w:val="670"/>
    <w:link w:val="701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1">
    <w:name w:val="Заголовок Знак"/>
    <w:next w:val="701"/>
    <w:link w:val="700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2">
    <w:name w:val="Без интервала"/>
    <w:next w:val="702"/>
    <w:link w:val="670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3">
    <w:name w:val="Заголовок №2_"/>
    <w:next w:val="703"/>
    <w:link w:val="704"/>
    <w:rPr>
      <w:sz w:val="19"/>
      <w:szCs w:val="19"/>
      <w:shd w:val="clear" w:color="auto" w:fill="ffffff"/>
    </w:rPr>
  </w:style>
  <w:style w:type="paragraph" w:styleId="704">
    <w:name w:val="Заголовок №2"/>
    <w:basedOn w:val="670"/>
    <w:next w:val="704"/>
    <w:link w:val="703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5">
    <w:name w:val="Основной текст + Интервал 0 pt"/>
    <w:next w:val="705"/>
    <w:link w:val="670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6">
    <w:name w:val="Обычный (веб)"/>
    <w:basedOn w:val="670"/>
    <w:next w:val="706"/>
    <w:link w:val="670"/>
    <w:uiPriority w:val="99"/>
    <w:unhideWhenUsed/>
    <w:pPr>
      <w:spacing w:before="100" w:beforeAutospacing="1" w:after="100" w:afterAutospacing="1"/>
    </w:pPr>
  </w:style>
  <w:style w:type="character" w:styleId="707">
    <w:name w:val="Заголовок 1 Знак"/>
    <w:next w:val="707"/>
    <w:link w:val="671"/>
    <w:rPr>
      <w:b/>
      <w:sz w:val="22"/>
    </w:rPr>
  </w:style>
  <w:style w:type="numbering" w:styleId="708">
    <w:name w:val="Стиль1"/>
    <w:next w:val="708"/>
    <w:link w:val="670"/>
    <w:uiPriority w:val="99"/>
    <w:pPr>
      <w:numPr>
        <w:numId w:val="1"/>
      </w:numPr>
    </w:pPr>
  </w:style>
  <w:style w:type="character" w:styleId="709">
    <w:name w:val="Строгий"/>
    <w:next w:val="709"/>
    <w:link w:val="670"/>
    <w:uiPriority w:val="22"/>
    <w:qFormat/>
    <w:rPr>
      <w:b/>
      <w:bCs/>
    </w:rPr>
  </w:style>
  <w:style w:type="character" w:styleId="710">
    <w:name w:val="Заголовок 2 Знак"/>
    <w:next w:val="710"/>
    <w:link w:val="672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1">
    <w:name w:val="Основной текст 2"/>
    <w:basedOn w:val="670"/>
    <w:next w:val="711"/>
    <w:link w:val="712"/>
    <w:semiHidden/>
    <w:unhideWhenUsed/>
    <w:pPr>
      <w:spacing w:after="120" w:line="480" w:lineRule="auto"/>
    </w:pPr>
  </w:style>
  <w:style w:type="character" w:styleId="712">
    <w:name w:val="Основной текст 2 Знак"/>
    <w:next w:val="712"/>
    <w:link w:val="711"/>
    <w:semiHidden/>
    <w:rPr>
      <w:sz w:val="24"/>
      <w:szCs w:val="24"/>
    </w:rPr>
  </w:style>
  <w:style w:type="table" w:styleId="713">
    <w:name w:val="Сетка таблицы1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4">
    <w:name w:val="ConsNonformat"/>
    <w:next w:val="714"/>
    <w:link w:val="670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5">
    <w:name w:val="Основной текст7"/>
    <w:basedOn w:val="670"/>
    <w:next w:val="715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6">
    <w:name w:val="Верхний колонтитул"/>
    <w:basedOn w:val="670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Верх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paragraph" w:styleId="718">
    <w:name w:val="Нижний колонтитул"/>
    <w:basedOn w:val="670"/>
    <w:next w:val="718"/>
    <w:link w:val="719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9">
    <w:name w:val="Нижний колонтитул Знак"/>
    <w:next w:val="719"/>
    <w:link w:val="718"/>
    <w:uiPriority w:val="99"/>
    <w:rPr>
      <w:sz w:val="24"/>
      <w:szCs w:val="24"/>
      <w:lang w:val="en-US" w:eastAsia="en-US"/>
    </w:rPr>
  </w:style>
  <w:style w:type="numbering" w:styleId="720">
    <w:name w:val="Нет списка1"/>
    <w:next w:val="682"/>
    <w:link w:val="670"/>
    <w:uiPriority w:val="99"/>
    <w:semiHidden/>
    <w:unhideWhenUsed/>
  </w:style>
  <w:style w:type="character" w:styleId="721">
    <w:name w:val="Текст выноски Знак"/>
    <w:next w:val="721"/>
    <w:link w:val="685"/>
    <w:uiPriority w:val="99"/>
    <w:semiHidden/>
    <w:rPr>
      <w:rFonts w:ascii="Tahoma" w:hAnsi="Tahoma" w:cs="Tahoma"/>
      <w:sz w:val="16"/>
      <w:szCs w:val="16"/>
    </w:rPr>
  </w:style>
  <w:style w:type="paragraph" w:styleId="722">
    <w:name w:val=" Знак"/>
    <w:basedOn w:val="670"/>
    <w:next w:val="722"/>
    <w:link w:val="670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3">
    <w:name w:val="Нет списка2"/>
    <w:next w:val="682"/>
    <w:link w:val="670"/>
    <w:uiPriority w:val="99"/>
    <w:semiHidden/>
    <w:unhideWhenUsed/>
  </w:style>
  <w:style w:type="numbering" w:styleId="724">
    <w:name w:val="Нет списка3"/>
    <w:next w:val="682"/>
    <w:link w:val="670"/>
    <w:uiPriority w:val="99"/>
    <w:semiHidden/>
    <w:unhideWhenUsed/>
  </w:style>
  <w:style w:type="paragraph" w:styleId="725">
    <w:name w:val="Default"/>
    <w:next w:val="725"/>
    <w:link w:val="670"/>
    <w:rPr>
      <w:color w:val="000000"/>
      <w:sz w:val="24"/>
      <w:szCs w:val="24"/>
      <w:lang w:val="ru-RU" w:eastAsia="ru-RU" w:bidi="ar-SA"/>
    </w:rPr>
  </w:style>
  <w:style w:type="character" w:styleId="726">
    <w:name w:val="Заголовок 4 Знак"/>
    <w:next w:val="726"/>
    <w:link w:val="674"/>
    <w:uiPriority w:val="9"/>
    <w:semiHidden/>
    <w:rPr>
      <w:rFonts w:ascii="Calibri" w:hAnsi="Calibri"/>
      <w:b/>
      <w:bCs/>
      <w:sz w:val="28"/>
      <w:szCs w:val="28"/>
    </w:rPr>
  </w:style>
  <w:style w:type="character" w:styleId="727">
    <w:name w:val="Заголовок 5 Знак"/>
    <w:next w:val="727"/>
    <w:link w:val="675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8">
    <w:name w:val="Заголовок 6 Знак"/>
    <w:next w:val="728"/>
    <w:link w:val="676"/>
    <w:uiPriority w:val="9"/>
    <w:semiHidden/>
    <w:rPr>
      <w:rFonts w:ascii="Calibri" w:hAnsi="Calibri"/>
      <w:b/>
      <w:bCs/>
      <w:sz w:val="22"/>
      <w:szCs w:val="22"/>
    </w:rPr>
  </w:style>
  <w:style w:type="character" w:styleId="729">
    <w:name w:val="Заголовок 7 Знак"/>
    <w:next w:val="729"/>
    <w:link w:val="677"/>
    <w:uiPriority w:val="9"/>
    <w:semiHidden/>
    <w:rPr>
      <w:rFonts w:ascii="Calibri" w:hAnsi="Calibri"/>
      <w:sz w:val="22"/>
      <w:szCs w:val="22"/>
    </w:rPr>
  </w:style>
  <w:style w:type="character" w:styleId="730">
    <w:name w:val="Заголовок 8 Знак"/>
    <w:next w:val="730"/>
    <w:link w:val="678"/>
    <w:uiPriority w:val="9"/>
    <w:semiHidden/>
    <w:rPr>
      <w:rFonts w:ascii="Calibri" w:hAnsi="Calibri"/>
      <w:i/>
      <w:iCs/>
      <w:sz w:val="22"/>
      <w:szCs w:val="22"/>
    </w:rPr>
  </w:style>
  <w:style w:type="character" w:styleId="731">
    <w:name w:val="Заголовок 9 Знак"/>
    <w:next w:val="731"/>
    <w:link w:val="679"/>
    <w:uiPriority w:val="9"/>
    <w:semiHidden/>
    <w:rPr>
      <w:rFonts w:ascii="Cambria" w:hAnsi="Cambria"/>
      <w:sz w:val="22"/>
      <w:szCs w:val="22"/>
    </w:rPr>
  </w:style>
  <w:style w:type="paragraph" w:styleId="732">
    <w:name w:val="Подзаголовок"/>
    <w:basedOn w:val="670"/>
    <w:next w:val="670"/>
    <w:link w:val="733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3">
    <w:name w:val="Подзаголовок Знак"/>
    <w:next w:val="733"/>
    <w:link w:val="732"/>
    <w:uiPriority w:val="11"/>
    <w:rPr>
      <w:rFonts w:ascii="Cambria" w:hAnsi="Cambria"/>
      <w:sz w:val="22"/>
      <w:szCs w:val="22"/>
    </w:rPr>
  </w:style>
  <w:style w:type="character" w:styleId="734">
    <w:name w:val="Выделение"/>
    <w:next w:val="734"/>
    <w:link w:val="670"/>
    <w:qFormat/>
    <w:rPr>
      <w:rFonts w:ascii="Calibri" w:hAnsi="Calibri"/>
      <w:b/>
      <w:i/>
      <w:iCs/>
    </w:rPr>
  </w:style>
  <w:style w:type="paragraph" w:styleId="735">
    <w:name w:val="Цитата 2"/>
    <w:basedOn w:val="670"/>
    <w:next w:val="670"/>
    <w:link w:val="736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6">
    <w:name w:val="Цитата 2 Знак"/>
    <w:next w:val="736"/>
    <w:link w:val="735"/>
    <w:uiPriority w:val="29"/>
    <w:rPr>
      <w:rFonts w:ascii="Calibri" w:hAnsi="Calibri"/>
      <w:i/>
      <w:sz w:val="22"/>
      <w:szCs w:val="22"/>
    </w:rPr>
  </w:style>
  <w:style w:type="paragraph" w:styleId="737">
    <w:name w:val="Выделенная цитата"/>
    <w:basedOn w:val="670"/>
    <w:next w:val="670"/>
    <w:link w:val="738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8">
    <w:name w:val="Выделенная цитата Знак"/>
    <w:next w:val="738"/>
    <w:link w:val="737"/>
    <w:uiPriority w:val="30"/>
    <w:rPr>
      <w:rFonts w:ascii="Calibri" w:hAnsi="Calibri"/>
      <w:b/>
      <w:i/>
      <w:sz w:val="22"/>
      <w:szCs w:val="22"/>
    </w:rPr>
  </w:style>
  <w:style w:type="character" w:styleId="739">
    <w:name w:val="Слабое выделение"/>
    <w:next w:val="739"/>
    <w:link w:val="670"/>
    <w:uiPriority w:val="19"/>
    <w:qFormat/>
    <w:rPr>
      <w:i/>
      <w:color w:val="5a5a5a"/>
    </w:rPr>
  </w:style>
  <w:style w:type="character" w:styleId="740">
    <w:name w:val="Сильное выделение"/>
    <w:next w:val="740"/>
    <w:link w:val="670"/>
    <w:uiPriority w:val="21"/>
    <w:qFormat/>
    <w:rPr>
      <w:b/>
      <w:i/>
      <w:sz w:val="24"/>
      <w:szCs w:val="24"/>
      <w:u w:val="single"/>
    </w:rPr>
  </w:style>
  <w:style w:type="character" w:styleId="741">
    <w:name w:val="Слабая ссылка"/>
    <w:next w:val="741"/>
    <w:link w:val="670"/>
    <w:uiPriority w:val="31"/>
    <w:qFormat/>
    <w:rPr>
      <w:sz w:val="24"/>
      <w:szCs w:val="24"/>
      <w:u w:val="single"/>
    </w:rPr>
  </w:style>
  <w:style w:type="character" w:styleId="742">
    <w:name w:val="Сильная ссылка"/>
    <w:next w:val="742"/>
    <w:link w:val="670"/>
    <w:uiPriority w:val="32"/>
    <w:qFormat/>
    <w:rPr>
      <w:b/>
      <w:sz w:val="24"/>
      <w:u w:val="single"/>
    </w:rPr>
  </w:style>
  <w:style w:type="character" w:styleId="743">
    <w:name w:val="Название книги"/>
    <w:next w:val="743"/>
    <w:link w:val="670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4">
    <w:name w:val="Заголовок оглавления"/>
    <w:basedOn w:val="671"/>
    <w:next w:val="670"/>
    <w:link w:val="670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5">
    <w:name w:val="Основной текст с отступом 3"/>
    <w:basedOn w:val="670"/>
    <w:next w:val="745"/>
    <w:link w:val="746"/>
    <w:unhideWhenUsed/>
    <w:pPr>
      <w:ind w:left="283"/>
      <w:spacing w:after="120"/>
    </w:pPr>
    <w:rPr>
      <w:sz w:val="16"/>
      <w:szCs w:val="16"/>
    </w:rPr>
  </w:style>
  <w:style w:type="character" w:styleId="746">
    <w:name w:val="Основной текст с отступом 3 Знак"/>
    <w:next w:val="746"/>
    <w:link w:val="745"/>
    <w:rPr>
      <w:sz w:val="16"/>
      <w:szCs w:val="16"/>
    </w:rPr>
  </w:style>
  <w:style w:type="paragraph" w:styleId="747">
    <w:name w:val="Знак"/>
    <w:basedOn w:val="670"/>
    <w:next w:val="747"/>
    <w:link w:val="670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8">
    <w:name w:val="Просмотренная гиперссылка"/>
    <w:next w:val="748"/>
    <w:link w:val="670"/>
    <w:uiPriority w:val="99"/>
    <w:semiHidden/>
    <w:unhideWhenUsed/>
    <w:rPr>
      <w:color w:val="800080"/>
      <w:u w:val="single"/>
    </w:rPr>
  </w:style>
  <w:style w:type="paragraph" w:styleId="749">
    <w:name w:val="ConsTitle"/>
    <w:next w:val="749"/>
    <w:link w:val="670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0">
    <w:name w:val="ConsNormal"/>
    <w:next w:val="750"/>
    <w:link w:val="67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1">
    <w:name w:val=" Знак Знак1"/>
    <w:basedOn w:val="670"/>
    <w:next w:val="751"/>
    <w:link w:val="670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2">
    <w:name w:val="Колонтитул (2)_"/>
    <w:next w:val="752"/>
    <w:link w:val="757"/>
  </w:style>
  <w:style w:type="character" w:styleId="753">
    <w:name w:val="Основной текст (2)_"/>
    <w:next w:val="753"/>
    <w:link w:val="758"/>
  </w:style>
  <w:style w:type="character" w:styleId="754">
    <w:name w:val="Заголовок №1_"/>
    <w:next w:val="754"/>
    <w:link w:val="759"/>
    <w:rPr>
      <w:b/>
      <w:bCs/>
    </w:rPr>
  </w:style>
  <w:style w:type="character" w:styleId="755">
    <w:name w:val="Другое_"/>
    <w:next w:val="755"/>
    <w:link w:val="760"/>
  </w:style>
  <w:style w:type="character" w:styleId="756">
    <w:name w:val="Подпись к таблице_"/>
    <w:next w:val="756"/>
    <w:link w:val="761"/>
  </w:style>
  <w:style w:type="paragraph" w:styleId="757">
    <w:name w:val="Колонтитул (2)"/>
    <w:basedOn w:val="670"/>
    <w:next w:val="757"/>
    <w:link w:val="752"/>
    <w:pPr>
      <w:widowControl w:val="off"/>
    </w:pPr>
    <w:rPr>
      <w:sz w:val="20"/>
      <w:szCs w:val="20"/>
    </w:rPr>
  </w:style>
  <w:style w:type="paragraph" w:styleId="758">
    <w:name w:val="Основной текст (2)"/>
    <w:basedOn w:val="670"/>
    <w:next w:val="758"/>
    <w:link w:val="753"/>
    <w:pPr>
      <w:ind w:left="5600"/>
      <w:widowControl w:val="off"/>
    </w:pPr>
    <w:rPr>
      <w:sz w:val="20"/>
      <w:szCs w:val="20"/>
    </w:rPr>
  </w:style>
  <w:style w:type="paragraph" w:styleId="759">
    <w:name w:val="Заголовок №1"/>
    <w:basedOn w:val="670"/>
    <w:next w:val="759"/>
    <w:link w:val="754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0">
    <w:name w:val="Другое"/>
    <w:basedOn w:val="670"/>
    <w:next w:val="760"/>
    <w:link w:val="755"/>
    <w:pPr>
      <w:widowControl w:val="off"/>
    </w:pPr>
    <w:rPr>
      <w:sz w:val="20"/>
      <w:szCs w:val="20"/>
    </w:rPr>
  </w:style>
  <w:style w:type="paragraph" w:styleId="761">
    <w:name w:val="Подпись к таблице"/>
    <w:basedOn w:val="670"/>
    <w:next w:val="761"/>
    <w:link w:val="756"/>
    <w:pPr>
      <w:widowControl w:val="off"/>
    </w:pPr>
    <w:rPr>
      <w:sz w:val="20"/>
      <w:szCs w:val="20"/>
    </w:rPr>
  </w:style>
  <w:style w:type="paragraph" w:styleId="762">
    <w:name w:val="Основной текст (2)1"/>
    <w:basedOn w:val="670"/>
    <w:next w:val="762"/>
    <w:link w:val="670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3">
    <w:name w:val="Основной текст (2) + 9 pt"/>
    <w:next w:val="763"/>
    <w:link w:val="670"/>
    <w:uiPriority w:val="99"/>
    <w:rPr>
      <w:rFonts w:cs="Times New Roman"/>
      <w:sz w:val="18"/>
      <w:szCs w:val="18"/>
      <w:shd w:val="clear" w:color="auto" w:fill="ffffff"/>
    </w:rPr>
  </w:style>
  <w:style w:type="character" w:styleId="764">
    <w:name w:val="Основной текст (2) + 9 pt2,Полужирный2,Курсив2"/>
    <w:next w:val="764"/>
    <w:link w:val="670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5">
    <w:name w:val="Основной текст (3)_"/>
    <w:next w:val="765"/>
    <w:link w:val="766"/>
    <w:rPr>
      <w:sz w:val="21"/>
      <w:szCs w:val="21"/>
      <w:shd w:val="clear" w:color="auto" w:fill="ffffff"/>
    </w:rPr>
  </w:style>
  <w:style w:type="paragraph" w:styleId="766">
    <w:name w:val="Основной текст (3)"/>
    <w:basedOn w:val="670"/>
    <w:next w:val="766"/>
    <w:link w:val="765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7">
    <w:name w:val="Основной текст3"/>
    <w:basedOn w:val="670"/>
    <w:next w:val="767"/>
    <w:link w:val="670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8">
    <w:name w:val="1"/>
    <w:basedOn w:val="670"/>
    <w:next w:val="768"/>
    <w:link w:val="670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9">
    <w:name w:val="Цитата"/>
    <w:basedOn w:val="670"/>
    <w:next w:val="769"/>
    <w:link w:val="670"/>
    <w:pPr>
      <w:ind w:left="851" w:right="1274"/>
      <w:jc w:val="center"/>
    </w:pPr>
    <w:rPr>
      <w:b/>
      <w:sz w:val="28"/>
      <w:szCs w:val="20"/>
    </w:rPr>
  </w:style>
  <w:style w:type="paragraph" w:styleId="770">
    <w:name w:val="formattext topleveltext"/>
    <w:basedOn w:val="670"/>
    <w:next w:val="770"/>
    <w:link w:val="670"/>
    <w:pPr>
      <w:spacing w:before="100" w:beforeAutospacing="1" w:after="100" w:afterAutospacing="1"/>
    </w:pPr>
  </w:style>
  <w:style w:type="paragraph" w:styleId="771">
    <w:name w:val="Абзац списка1"/>
    <w:basedOn w:val="670"/>
    <w:next w:val="771"/>
    <w:link w:val="670"/>
    <w:pPr>
      <w:ind w:left="720"/>
      <w:spacing w:line="276" w:lineRule="auto"/>
    </w:pPr>
  </w:style>
  <w:style w:type="paragraph" w:styleId="772">
    <w:name w:val="Standard"/>
    <w:next w:val="772"/>
    <w:link w:val="670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3">
    <w:name w:val="Сетка таблицы2"/>
    <w:basedOn w:val="681"/>
    <w:next w:val="683"/>
    <w:link w:val="670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4">
    <w:name w:val="Сетка таблицы3"/>
    <w:basedOn w:val="681"/>
    <w:next w:val="683"/>
    <w:link w:val="670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5">
    <w:name w:val="Прижатый влево"/>
    <w:basedOn w:val="670"/>
    <w:next w:val="670"/>
    <w:link w:val="670"/>
    <w:rPr>
      <w:rFonts w:ascii="Arial" w:hAnsi="Arial"/>
      <w:sz w:val="20"/>
      <w:szCs w:val="20"/>
    </w:rPr>
  </w:style>
  <w:style w:type="character" w:styleId="776">
    <w:name w:val="Абзац списка Знак,мой Знак"/>
    <w:next w:val="776"/>
    <w:link w:val="686"/>
    <w:uiPriority w:val="34"/>
    <w:rPr>
      <w:sz w:val="24"/>
      <w:szCs w:val="24"/>
    </w:rPr>
  </w:style>
  <w:style w:type="character" w:styleId="777">
    <w:name w:val="Основной текст + Курсив"/>
    <w:next w:val="777"/>
    <w:link w:val="670"/>
    <w:rPr>
      <w:rFonts w:ascii="Times New Roman" w:hAnsi="Times New Roman" w:eastAsia="Times New Roman" w:cs="Times New Roman"/>
      <w:i/>
      <w:iCs/>
      <w:spacing w:val="0"/>
      <w:sz w:val="23"/>
      <w:szCs w:val="23"/>
      <w:shd w:val="clear" w:color="auto" w:fill="ffffff"/>
    </w:rPr>
  </w:style>
  <w:style w:type="character" w:styleId="1337" w:default="1">
    <w:name w:val="Default Paragraph Font"/>
    <w:uiPriority w:val="1"/>
    <w:semiHidden/>
    <w:unhideWhenUsed/>
  </w:style>
  <w:style w:type="numbering" w:styleId="1338" w:default="1">
    <w:name w:val="No List"/>
    <w:uiPriority w:val="99"/>
    <w:semiHidden/>
    <w:unhideWhenUsed/>
  </w:style>
  <w:style w:type="table" w:styleId="13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500</cp:revision>
  <dcterms:created xsi:type="dcterms:W3CDTF">2020-03-19T03:57:00Z</dcterms:created>
  <dcterms:modified xsi:type="dcterms:W3CDTF">2023-08-01T01:57:45Z</dcterms:modified>
  <cp:version>1048576</cp:version>
</cp:coreProperties>
</file>