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100"/>
        <w:gridCol w:w="136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671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14 декабря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</w:t>
            </w:r>
            <w:r>
              <w:t xml:space="preserve">      </w:t>
            </w:r>
            <w:r>
              <w:t xml:space="preserve">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</w:t>
            </w:r>
            <w:r>
              <w:t xml:space="preserve"> №1657</w:t>
            </w:r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</w:tbl>
    <w:p>
      <w:pPr>
        <w:pStyle w:val="670"/>
        <w:ind w:right="5101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общественных работ на 2024 год</w:t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0"/>
        <w:ind w:firstLine="709"/>
        <w:jc w:val="both"/>
      </w:pPr>
      <w:r>
        <w:rPr>
          <w:sz w:val="28"/>
          <w:szCs w:val="28"/>
        </w:rPr>
        <w:t xml:space="preserve">В целях обеспечения гарантий социальной защиты и материальной поддержки граждан в соответствии с ч. 1 ст. 7.2, п.18 ст. 7.1-1 Закона Российской Федерации от 19.04.1</w:t>
      </w:r>
      <w:r>
        <w:rPr>
          <w:sz w:val="28"/>
          <w:szCs w:val="28"/>
        </w:rPr>
        <w:t xml:space="preserve">991 № 1032-1  «О занятости населения в Российской Федерации», приказом Минтруда России от 29.12.2021 № 931н «Об утверждении Стандарта процесса осуществления полномочия в сфере занятости населения «Организация проведения оплачиваемых общественных работ» (за</w:t>
      </w:r>
      <w:r>
        <w:rPr>
          <w:sz w:val="28"/>
          <w:szCs w:val="28"/>
        </w:rPr>
        <w:t xml:space="preserve">регистрировано в Минюсте России 11.02.2022 № 67246), Постановлением Правительства Красноярского края от 30.09.2013 № 502-п  «Об утверждении государственной программы Красноярского края «Содействие занятости населения», Соглашением о сотрудничестве в област</w:t>
      </w:r>
      <w:r>
        <w:rPr>
          <w:sz w:val="28"/>
          <w:szCs w:val="28"/>
        </w:rPr>
        <w:t xml:space="preserve">и содействия занятости населения между Краевым государственным казенным учреждением «Центр занятости населения города Сосновоборска» и Администрацией г. Сосновоборска от 15.10.2021, руководствуясь ст. 26, 38 Устава города Сосновоборска Красноярского края, </w:t>
      </w:r>
      <w:r/>
    </w:p>
    <w:p>
      <w:pPr>
        <w:pStyle w:val="689"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spacing w:after="0"/>
      </w:pPr>
      <w:r>
        <w:rPr>
          <w:sz w:val="28"/>
          <w:szCs w:val="28"/>
        </w:rPr>
        <w:t xml:space="preserve">ПОСТАНОВЛЯЮ</w:t>
      </w:r>
      <w:r/>
    </w:p>
    <w:p>
      <w:pPr>
        <w:pStyle w:val="689"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numPr>
          <w:ilvl w:val="0"/>
          <w:numId w:val="19"/>
        </w:numPr>
        <w:ind w:left="0" w:firstLine="851"/>
        <w:jc w:val="both"/>
        <w:tabs>
          <w:tab w:val="num" w:pos="0" w:leader="none"/>
          <w:tab w:val="clear" w:pos="2836" w:leader="none"/>
        </w:tabs>
      </w:pPr>
      <w:r>
        <w:rPr>
          <w:sz w:val="28"/>
        </w:rPr>
        <w:t xml:space="preserve">Утвердить перечень видов общественных работ, проводимых на территории города Сосновоборска в 2024 году, согласно приложению.</w:t>
      </w:r>
      <w:r/>
    </w:p>
    <w:p>
      <w:pPr>
        <w:pStyle w:val="670"/>
        <w:numPr>
          <w:ilvl w:val="0"/>
          <w:numId w:val="19"/>
        </w:numPr>
        <w:ind w:left="0" w:firstLine="851"/>
        <w:jc w:val="both"/>
        <w:tabs>
          <w:tab w:val="clear" w:pos="2836" w:leader="none"/>
        </w:tabs>
      </w:pPr>
      <w:r>
        <w:rPr>
          <w:sz w:val="28"/>
        </w:rPr>
        <w:t xml:space="preserve">Рекомендовать краевому государственному казенному учреждению «Центр занятости населения города Сосновоборска» (И.В. Винокурова):</w:t>
      </w:r>
      <w:r/>
    </w:p>
    <w:p>
      <w:pPr>
        <w:pStyle w:val="670"/>
        <w:numPr>
          <w:ilvl w:val="1"/>
          <w:numId w:val="19"/>
        </w:numPr>
        <w:ind w:left="0" w:firstLine="851"/>
        <w:jc w:val="both"/>
        <w:tabs>
          <w:tab w:val="num" w:pos="0" w:leader="none"/>
          <w:tab w:val="clear" w:pos="3474" w:leader="none"/>
        </w:tabs>
      </w:pPr>
      <w:r>
        <w:rPr>
          <w:sz w:val="28"/>
        </w:rPr>
        <w:t xml:space="preserve">Проводить работу по информированию работодателей, безработных граждан и граждан, зарегистрированных в целях поиска подходящей работы, о порядке организации общественных работ и условиях участия в данных работах.</w:t>
      </w:r>
      <w:r/>
    </w:p>
    <w:p>
      <w:pPr>
        <w:pStyle w:val="670"/>
        <w:numPr>
          <w:ilvl w:val="1"/>
          <w:numId w:val="19"/>
        </w:numPr>
        <w:ind w:left="0" w:firstLine="851"/>
        <w:jc w:val="both"/>
        <w:tabs>
          <w:tab w:val="num" w:pos="0" w:leader="none"/>
          <w:tab w:val="clear" w:pos="3474" w:leader="none"/>
        </w:tabs>
      </w:pPr>
      <w:r>
        <w:rPr>
          <w:sz w:val="28"/>
        </w:rPr>
        <w:t xml:space="preserve">Заключать с предприятиями, организациями всех форм собственности договоры об организации проведения оплачиваемых общественных работ на 40 рабочих мест.</w:t>
      </w:r>
      <w:r/>
    </w:p>
    <w:p>
      <w:pPr>
        <w:pStyle w:val="670"/>
        <w:numPr>
          <w:ilvl w:val="0"/>
          <w:numId w:val="19"/>
        </w:numPr>
        <w:ind w:left="0" w:firstLine="851"/>
        <w:jc w:val="both"/>
        <w:tabs>
          <w:tab w:val="num" w:pos="0" w:leader="none"/>
          <w:tab w:val="clear" w:pos="2836" w:leader="none"/>
        </w:tabs>
      </w:pPr>
      <w:r>
        <w:rPr>
          <w:sz w:val="28"/>
        </w:rPr>
        <w:t xml:space="preserve">Рекомендовать руководителям предприятий, организаций всех форм собственности:</w:t>
      </w:r>
      <w:r/>
    </w:p>
    <w:p>
      <w:pPr>
        <w:pStyle w:val="670"/>
        <w:numPr>
          <w:ilvl w:val="1"/>
          <w:numId w:val="19"/>
        </w:numPr>
        <w:ind w:left="0" w:firstLine="851"/>
        <w:jc w:val="both"/>
        <w:tabs>
          <w:tab w:val="num" w:pos="0" w:leader="none"/>
          <w:tab w:val="clear" w:pos="3474" w:leader="none"/>
        </w:tabs>
      </w:pPr>
      <w:r>
        <w:rPr>
          <w:sz w:val="28"/>
        </w:rPr>
        <w:t xml:space="preserve">Предоставлять в краевое государственное казенное учреждение «Центр занятости населения города Сосновоборска» информацию о возможности проведения общественных работ.</w:t>
      </w:r>
      <w:r/>
    </w:p>
    <w:p>
      <w:pPr>
        <w:pStyle w:val="670"/>
        <w:numPr>
          <w:ilvl w:val="1"/>
          <w:numId w:val="19"/>
        </w:numPr>
        <w:ind w:left="0" w:firstLine="851"/>
        <w:jc w:val="both"/>
        <w:tabs>
          <w:tab w:val="num" w:pos="0" w:leader="none"/>
          <w:tab w:val="clear" w:pos="3474" w:leader="none"/>
        </w:tabs>
      </w:pPr>
      <w:r>
        <w:rPr>
          <w:sz w:val="28"/>
        </w:rPr>
        <w:t xml:space="preserve">Заключать с краевым государственным казенным учреждением «Центр занятости населения города Сосновоборска» договоры о совместной деятельности по организации общественных работ.</w:t>
      </w:r>
      <w:r/>
    </w:p>
    <w:p>
      <w:pPr>
        <w:pStyle w:val="670"/>
        <w:numPr>
          <w:ilvl w:val="0"/>
          <w:numId w:val="19"/>
        </w:numPr>
        <w:ind w:left="0" w:firstLine="851"/>
        <w:jc w:val="both"/>
        <w:tabs>
          <w:tab w:val="num" w:pos="0" w:leader="none"/>
          <w:tab w:val="clear" w:pos="2836" w:leader="none"/>
        </w:tabs>
      </w:pPr>
      <w:r>
        <w:rPr>
          <w:sz w:val="28"/>
        </w:rPr>
        <w:t xml:space="preserve">Считать утратившим силу с 01.01.2024 постановление администрации города от 13.01.2023 № 26 «Об организации общественных работ на 2023 год на территории города».</w:t>
      </w:r>
      <w:r/>
    </w:p>
    <w:p>
      <w:pPr>
        <w:pStyle w:val="670"/>
        <w:numPr>
          <w:ilvl w:val="0"/>
          <w:numId w:val="19"/>
        </w:numPr>
        <w:ind w:left="0" w:firstLine="851"/>
        <w:jc w:val="both"/>
        <w:tabs>
          <w:tab w:val="num" w:pos="0" w:leader="none"/>
          <w:tab w:val="clear" w:pos="2836" w:leader="none"/>
        </w:tabs>
      </w:pPr>
      <w:r>
        <w:rPr>
          <w:sz w:val="28"/>
        </w:rPr>
        <w:t xml:space="preserve">Постановление вступает в силу с 01.01.2024, но не ранее дня, следующего за днем его официального опубликования в городской газете «Рабочий».</w:t>
      </w:r>
      <w:r/>
    </w:p>
    <w:p>
      <w:pPr>
        <w:pStyle w:val="670"/>
        <w:numPr>
          <w:ilvl w:val="0"/>
          <w:numId w:val="19"/>
        </w:numPr>
        <w:ind w:left="0" w:firstLine="851"/>
        <w:jc w:val="both"/>
        <w:tabs>
          <w:tab w:val="num" w:pos="0" w:leader="none"/>
          <w:tab w:val="clear" w:pos="2836" w:leader="none"/>
        </w:tabs>
        <w:rPr>
          <w:sz w:val="28"/>
          <w:szCs w:val="28"/>
        </w:rPr>
      </w:pPr>
      <w:r>
        <w:rPr>
          <w:sz w:val="28"/>
        </w:rPr>
        <w:t xml:space="preserve">Контроль за исполнением постановления возложить</w:t>
      </w:r>
      <w:r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руководителя управления</w:t>
      </w:r>
      <w:r>
        <w:rPr>
          <w:color w:val="000000"/>
          <w:sz w:val="28"/>
          <w:szCs w:val="28"/>
        </w:rPr>
        <w:t xml:space="preserve"> планирования и экономического развития администрации города (Е.А. Малышева)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70"/>
        <w:jc w:val="both"/>
        <w:tabs>
          <w:tab w:val="left" w:pos="851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670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Глава города Сосновоборска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А.С. Кудрявцев</w:t>
      </w: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70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tbl>
      <w:tblPr>
        <w:tblW w:w="5103" w:type="dxa"/>
        <w:tblInd w:w="492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70"/>
              <w:ind w:right="34"/>
              <w:jc w:val="right"/>
              <w:tabs>
                <w:tab w:val="left" w:pos="1134" w:leader="none"/>
              </w:tabs>
            </w:pPr>
            <w:r>
              <w:rPr>
                <w:bCs/>
              </w:rPr>
              <w:t xml:space="preserve">Приложение</w:t>
            </w:r>
            <w:r/>
          </w:p>
          <w:p>
            <w:pPr>
              <w:pStyle w:val="670"/>
              <w:ind w:right="34" w:firstLine="1168"/>
              <w:jc w:val="right"/>
              <w:tabs>
                <w:tab w:val="left" w:pos="1134" w:leader="none"/>
              </w:tabs>
            </w:pPr>
            <w:r>
              <w:rPr>
                <w:bCs/>
              </w:rPr>
              <w:t xml:space="preserve">к постановлению администрации города Сосновоборска от 14.12.2023 </w:t>
            </w:r>
            <w:r>
              <w:rPr>
                <w:bCs/>
              </w:rPr>
              <w:t xml:space="preserve">№1657</w:t>
            </w:r>
            <w:r/>
          </w:p>
        </w:tc>
      </w:tr>
    </w:tbl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Перечень видов общественных работ, организуемых на территории города Сосновоборска в 2024 год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эксплуатация жилищно-коммунального хозяйства и бытовое обслуживание населения;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строительство жилья, реконструкция жилого фонда, объектов социально-культур</w:t>
      </w:r>
      <w:r>
        <w:rPr>
          <w:sz w:val="28"/>
        </w:rPr>
        <w:t xml:space="preserve">ного назначения  (детских дошкольных учреждений, спортплощадок, учреждений культуры, здравоохранения, домов престарелых и т.п.);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озеленение и благоустройство территорий, развитие лесопаркового хозяйства, зон отдыха и туризма, обслуживание питомников;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выпас скота;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разведение скота и птицы;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заготовка, переработка и хранение сельскохозяйственной продукции, подготовка овощехранилищ, обслуживание теплиц; 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заготовка кормов;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работы по ветеринарному обслуживанию;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выращивание сельскохозяйственных культур;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обслуживание спецтехники (сельскохозяйственной, горнотранспортной и др.);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заготовка дикорастущих растений, грибов, ягод, лекарственных трав;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организация сбора и переработки вторичного сырья и отходов;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разведение рыбы в искусственных и естественных водоемах; 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работа на пасеках;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очистка загрязненных водоемов;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восстановительные и благоустроительные работы после завершения ликвидации последствий катастроф и стихийных бедствий;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обеспечение оздоровления и отдыха детей в период каникул, обслуживание санитарно-курортных зон;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розничная продажа периодической печати, доставка почтовой корреспонденции;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обслуживание пассажирского транспорта, работа организаций связи;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канцелярские работы, техническая обработка документов, курьерские работы;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проведение сельскохозяйственных мелиоративных (ирригационных) работ, работа в лесном хозяйстве;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подсобные работы на пилораме;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работа по обслуживанию, проведению праздников по случаю юбилейных дат муниципальных образований;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погрузочно-разгрузочные работы в организациях всех форм собственности;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строительство автомобильных дорог, их ремонт и содержание, прокладка водопроводных, газовых, канализационных и других коммуникаций;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вспомогательные работы на предприятиях железнодорожного транспорта, лесной отрасли, потребкооперации, правоохранительных органов и др.;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реализация программ возрождения культуры, восстановление историко-архитектурных памятников, комплексов, заповедных зон;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подсобные работы на предприятиях торговли и общественного питания;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санитарная очистка внутриквартальных территорий и контейнерных площадок от мусора и бытовых отходов</w:t>
      </w:r>
      <w:r>
        <w:rPr>
          <w:sz w:val="28"/>
          <w:szCs w:val="28"/>
        </w:rPr>
        <w:t xml:space="preserve">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  <w:szCs w:val="28"/>
        </w:rPr>
        <w:t xml:space="preserve">работа по подготовке к отопительному сезону</w:t>
      </w:r>
      <w:r>
        <w:rPr>
          <w:sz w:val="28"/>
        </w:rPr>
        <w:t xml:space="preserve">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уборка снега с крыш и территорий;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мытье автомобилей;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организация досуга детей в учреждениях культуры, лагерях труда и отдыха;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подсобные работы при ремонтно-восстановительных работах;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упаковка готовой продукции;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санитарная уборка помещений;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мытье посуды (лабораторной, пищевой и др.);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обслуживание аттракционов;</w:t>
      </w:r>
      <w:r/>
    </w:p>
    <w:p>
      <w:pPr>
        <w:pStyle w:val="670"/>
        <w:ind w:firstLine="709"/>
        <w:jc w:val="both"/>
        <w:keepNext/>
        <w:widowControl w:val="off"/>
        <w:outlineLvl w:val="2"/>
      </w:pPr>
      <w:r>
        <w:rPr>
          <w:sz w:val="28"/>
        </w:rPr>
        <w:t xml:space="preserve">мытье, уборка подвижного состава;</w:t>
      </w:r>
      <w:r/>
    </w:p>
    <w:p>
      <w:pPr>
        <w:pStyle w:val="670"/>
        <w:ind w:firstLine="709"/>
        <w:jc w:val="both"/>
        <w:keepNext/>
        <w:widowControl w:val="off"/>
        <w:rPr>
          <w:sz w:val="28"/>
        </w:rPr>
        <w:outlineLvl w:val="2"/>
      </w:pPr>
      <w:r>
        <w:rPr>
          <w:sz w:val="28"/>
        </w:rPr>
        <w:t xml:space="preserve">другие направления трудовой деятельности.</w:t>
      </w:r>
      <w:r/>
    </w:p>
    <w:sectPr>
      <w:footnotePr/>
      <w:endnotePr/>
      <w:type w:val="nextPage"/>
      <w:pgSz w:w="11906" w:h="16838" w:orient="portrait"/>
      <w:pgMar w:top="709" w:right="851" w:bottom="851" w:left="1276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764" w:hanging="10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num w:numId="1">
    <w:abstractNumId w:val="8"/>
  </w:num>
  <w:num w:numId="2">
    <w:abstractNumId w:val="23"/>
  </w:num>
  <w:num w:numId="3">
    <w:abstractNumId w:val="29"/>
  </w:num>
  <w:num w:numId="4">
    <w:abstractNumId w:val="32"/>
  </w:num>
  <w:num w:numId="5">
    <w:abstractNumId w:val="15"/>
  </w:num>
  <w:num w:numId="6">
    <w:abstractNumId w:val="3"/>
  </w:num>
  <w:num w:numId="7">
    <w:abstractNumId w:val="20"/>
  </w:num>
  <w:num w:numId="8">
    <w:abstractNumId w:val="34"/>
  </w:num>
  <w:num w:numId="9">
    <w:abstractNumId w:val="24"/>
  </w:num>
  <w:num w:numId="10">
    <w:abstractNumId w:val="1"/>
  </w:num>
  <w:num w:numId="11">
    <w:abstractNumId w:val="27"/>
  </w:num>
  <w:num w:numId="12">
    <w:abstractNumId w:val="28"/>
  </w:num>
  <w:num w:numId="13">
    <w:abstractNumId w:val="10"/>
  </w:num>
  <w:num w:numId="14">
    <w:abstractNumId w:val="17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19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86">
    <w:name w:val="Абзац списка,мой"/>
    <w:basedOn w:val="670"/>
    <w:next w:val="686"/>
    <w:link w:val="776"/>
    <w:uiPriority w:val="34"/>
    <w:qFormat/>
    <w:pPr>
      <w:contextualSpacing/>
      <w:ind w:left="720"/>
    </w:pPr>
    <w:rPr>
      <w:lang w:val="en-US" w:eastAsia="en-US"/>
    </w:r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rPr>
      <w:sz w:val="24"/>
      <w:szCs w:val="24"/>
      <w:lang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  <w:lang w:bidi="ar-SA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  <w:rPr>
      <w:lang w:val="en-US" w:eastAsia="en-US"/>
    </w:r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uiPriority w:val="99"/>
    <w:semiHidden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paragraph" w:styleId="777">
    <w:name w:val="Схема документа"/>
    <w:basedOn w:val="670"/>
    <w:next w:val="777"/>
    <w:link w:val="778"/>
    <w:uiPriority w:val="99"/>
    <w:semiHidden/>
    <w:unhideWhenUsed/>
    <w:rPr>
      <w:rFonts w:ascii="Tahoma" w:hAnsi="Tahoma" w:cs="Tahoma"/>
      <w:sz w:val="16"/>
      <w:szCs w:val="16"/>
    </w:rPr>
  </w:style>
  <w:style w:type="character" w:styleId="778">
    <w:name w:val="Схема документа Знак"/>
    <w:basedOn w:val="680"/>
    <w:next w:val="778"/>
    <w:link w:val="777"/>
    <w:uiPriority w:val="99"/>
    <w:semiHidden/>
    <w:rPr>
      <w:rFonts w:ascii="Tahoma" w:hAnsi="Tahoma" w:cs="Tahoma"/>
      <w:sz w:val="16"/>
      <w:szCs w:val="16"/>
    </w:rPr>
  </w:style>
  <w:style w:type="character" w:styleId="1293" w:default="1">
    <w:name w:val="Default Paragraph Font"/>
    <w:uiPriority w:val="1"/>
    <w:semiHidden/>
    <w:unhideWhenUsed/>
  </w:style>
  <w:style w:type="numbering" w:styleId="1294" w:default="1">
    <w:name w:val="No List"/>
    <w:uiPriority w:val="99"/>
    <w:semiHidden/>
    <w:unhideWhenUsed/>
  </w:style>
  <w:style w:type="table" w:styleId="12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499</cp:revision>
  <dcterms:created xsi:type="dcterms:W3CDTF">2020-03-19T03:57:00Z</dcterms:created>
  <dcterms:modified xsi:type="dcterms:W3CDTF">2023-12-14T09:30:22Z</dcterms:modified>
  <cp:version>786432</cp:version>
</cp:coreProperties>
</file>