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90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89"/>
            </w:pPr>
            <w:r/>
            <w:r/>
          </w:p>
          <w:p>
            <w:pPr>
              <w:pStyle w:val="719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9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89"/>
              <w:jc w:val="center"/>
            </w:pPr>
            <w:r/>
            <w:r/>
          </w:p>
          <w:p>
            <w:pPr>
              <w:pStyle w:val="689"/>
            </w:pPr>
            <w:r/>
            <w:r/>
          </w:p>
          <w:p>
            <w:pPr>
              <w:pStyle w:val="689"/>
              <w:ind w:left="-113"/>
            </w:pPr>
            <w:r>
              <w:t xml:space="preserve">31 марта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  </w:t>
            </w:r>
            <w:r>
              <w:t xml:space="preserve"> № 470</w:t>
            </w:r>
            <w:r/>
          </w:p>
          <w:p>
            <w:pPr>
              <w:pStyle w:val="689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8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89"/>
              <w:jc w:val="center"/>
            </w:pPr>
            <w:r/>
            <w:r/>
          </w:p>
        </w:tc>
      </w:tr>
    </w:tbl>
    <w:p>
      <w:pPr>
        <w:pStyle w:val="689"/>
        <w:ind w:right="4817"/>
        <w:jc w:val="both"/>
        <w:tabs>
          <w:tab w:val="left" w:pos="5812" w:leader="none"/>
        </w:tabs>
        <w:rPr>
          <w:rFonts w:ascii="Arial" w:hAnsi="Arial" w:cs="Arial"/>
          <w:b/>
          <w:bCs/>
          <w:sz w:val="20"/>
          <w:szCs w:val="20"/>
          <w:lang w:eastAsia="zh-CN"/>
        </w:rPr>
      </w:pPr>
      <w:r>
        <w:rPr>
          <w:rFonts w:eastAsia="Calibri"/>
          <w:bCs/>
          <w:lang w:eastAsia="en-US"/>
        </w:rPr>
        <w:t xml:space="preserve">О внесении изменений в постановление администрации города Сосновоборска от 11.11.2022 № 1675 «Об утверждении муниципальной программы «Профилактика терроризма, экстремизма, безопасность чрезвычайных ситуаций на территории города Сосновоборска»</w:t>
      </w:r>
      <w:r>
        <w:rPr>
          <w:bCs/>
          <w:lang w:eastAsia="zh-CN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zh-CN"/>
        </w:rPr>
      </w:r>
      <w:r/>
    </w:p>
    <w:p>
      <w:pPr>
        <w:pStyle w:val="689"/>
        <w:ind w:right="4817"/>
        <w:jc w:val="both"/>
        <w:rPr>
          <w:lang w:eastAsia="zh-CN"/>
        </w:rPr>
      </w:pPr>
      <w:r>
        <w:rPr>
          <w:lang w:eastAsia="zh-CN"/>
        </w:rPr>
      </w:r>
      <w:r/>
    </w:p>
    <w:p>
      <w:pPr>
        <w:pStyle w:val="689"/>
        <w:ind w:right="4817"/>
        <w:jc w:val="both"/>
        <w:rPr>
          <w:lang w:eastAsia="zh-CN"/>
        </w:rPr>
      </w:pPr>
      <w:r>
        <w:rPr>
          <w:lang w:eastAsia="zh-CN"/>
        </w:rPr>
      </w:r>
      <w:r/>
    </w:p>
    <w:p>
      <w:pPr>
        <w:pStyle w:val="689"/>
        <w:ind w:firstLine="709"/>
        <w:jc w:val="both"/>
        <w:rPr>
          <w:lang w:eastAsia="zh-CN"/>
        </w:rPr>
      </w:pPr>
      <w:r>
        <w:rPr>
          <w:rFonts w:eastAsia="Calibri"/>
          <w:sz w:val="28"/>
          <w:szCs w:val="28"/>
          <w:lang w:eastAsia="en-US"/>
        </w:rPr>
        <w:t xml:space="preserve">Во исполнение п. 3.5.3. решения Национального антитеррористического комитета от 14.02.2023 по вопросу «О </w:t>
      </w:r>
      <w:r>
        <w:rPr>
          <w:rFonts w:eastAsia="Calibri"/>
          <w:sz w:val="28"/>
          <w:szCs w:val="28"/>
          <w:lang w:eastAsia="en-US"/>
        </w:rPr>
        <w:t xml:space="preserve">состоянии и мерах по повышению эффективности работы по реализации субъектами противодействия терроризму установок председателя Национального антитеррористического комитета, направленных на обеспечение антитеррористической защищенности объектов различных ка</w:t>
      </w:r>
      <w:r>
        <w:rPr>
          <w:rFonts w:eastAsia="Calibri"/>
          <w:sz w:val="28"/>
          <w:szCs w:val="28"/>
          <w:lang w:eastAsia="en-US"/>
        </w:rPr>
        <w:t xml:space="preserve">тегорий и организацию деятельности по противодействию идеологии терроризма в условиях проведения специальной военной операции», а также поручения Губернатора Красноярского края, руководствуясь ст. ст. 26, 38 Устава города Сосновоборска Красноярского края, </w:t>
      </w:r>
      <w:r>
        <w:rPr>
          <w:lang w:eastAsia="zh-CN"/>
        </w:rPr>
      </w:r>
      <w:r/>
    </w:p>
    <w:p>
      <w:pPr>
        <w:pStyle w:val="689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</w:r>
      <w:r/>
    </w:p>
    <w:p>
      <w:pPr>
        <w:pStyle w:val="689"/>
        <w:jc w:val="both"/>
        <w:rPr>
          <w:lang w:eastAsia="zh-CN"/>
        </w:rPr>
      </w:pPr>
      <w:r>
        <w:rPr>
          <w:rFonts w:eastAsia="Calibri"/>
          <w:bCs/>
          <w:sz w:val="28"/>
          <w:szCs w:val="28"/>
          <w:lang w:eastAsia="en-US"/>
        </w:rPr>
        <w:t xml:space="preserve">ПОСТАНОВЛЯЮ</w:t>
      </w:r>
      <w:r>
        <w:rPr>
          <w:lang w:eastAsia="zh-CN"/>
        </w:rPr>
      </w:r>
      <w:r/>
    </w:p>
    <w:p>
      <w:pPr>
        <w:pStyle w:val="689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</w:r>
      <w:r/>
    </w:p>
    <w:p>
      <w:pPr>
        <w:pStyle w:val="689"/>
        <w:numPr>
          <w:ilvl w:val="0"/>
          <w:numId w:val="19"/>
        </w:numPr>
        <w:ind w:left="0" w:firstLine="709"/>
        <w:jc w:val="both"/>
        <w:tabs>
          <w:tab w:val="clear" w:pos="-710" w:leader="none"/>
          <w:tab w:val="num" w:pos="0" w:leader="none"/>
          <w:tab w:val="left" w:pos="993" w:leader="none"/>
          <w:tab w:val="left" w:pos="1276" w:leader="none"/>
        </w:tabs>
        <w:rPr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Внести следующие изменения в постановление администрации города Сосновоборска от 11.11.2022 № 1675 «</w:t>
      </w:r>
      <w:r>
        <w:rPr>
          <w:rFonts w:eastAsia="Calibri"/>
          <w:bCs/>
          <w:sz w:val="28"/>
          <w:szCs w:val="28"/>
          <w:lang w:eastAsia="en-US"/>
        </w:rPr>
        <w:t xml:space="preserve">Об утверждении муниципальной программы «Профилактика терроризма, экстремизма, безопасность чрезвычайных ситуаций на территории города Сосновоборска</w:t>
      </w:r>
      <w:r>
        <w:rPr>
          <w:rFonts w:eastAsia="Calibri"/>
          <w:bCs/>
          <w:sz w:val="28"/>
          <w:szCs w:val="28"/>
          <w:lang w:eastAsia="zh-CN"/>
        </w:rPr>
        <w:t xml:space="preserve">»: </w:t>
      </w:r>
      <w:r>
        <w:rPr>
          <w:lang w:eastAsia="zh-CN"/>
        </w:rPr>
      </w:r>
      <w:r/>
    </w:p>
    <w:p>
      <w:pPr>
        <w:pStyle w:val="689"/>
        <w:jc w:val="both"/>
        <w:tabs>
          <w:tab w:val="left" w:pos="993" w:leader="none"/>
          <w:tab w:val="left" w:pos="1276" w:leader="none"/>
        </w:tabs>
        <w:rPr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  1.1. Приложение 1 к паспорту </w:t>
      </w:r>
      <w:r>
        <w:rPr>
          <w:rFonts w:eastAsia="Calibri"/>
          <w:bCs/>
          <w:sz w:val="28"/>
          <w:szCs w:val="28"/>
          <w:lang w:eastAsia="en-US"/>
        </w:rPr>
        <w:t xml:space="preserve">муниципальной программы</w:t>
      </w:r>
      <w:r>
        <w:rPr>
          <w:rFonts w:eastAsia="Calibri"/>
          <w:bCs/>
          <w:sz w:val="28"/>
          <w:szCs w:val="28"/>
          <w:lang w:eastAsia="zh-CN"/>
        </w:rPr>
        <w:t xml:space="preserve"> изложить в редакции согласно приложению №1 к настоящему постановлению.</w:t>
      </w:r>
      <w:r>
        <w:rPr>
          <w:lang w:eastAsia="zh-CN"/>
        </w:rPr>
      </w:r>
      <w:r/>
    </w:p>
    <w:p>
      <w:pPr>
        <w:pStyle w:val="689"/>
        <w:numPr>
          <w:ilvl w:val="0"/>
          <w:numId w:val="19"/>
        </w:numPr>
        <w:ind w:left="0" w:firstLine="709"/>
        <w:jc w:val="both"/>
        <w:widowControl w:val="off"/>
        <w:tabs>
          <w:tab w:val="clear" w:pos="-710" w:leader="none"/>
          <w:tab w:val="num" w:pos="0" w:leader="none"/>
          <w:tab w:val="left" w:pos="993" w:leader="none"/>
          <w:tab w:val="left" w:pos="1276" w:leader="none"/>
        </w:tabs>
        <w:rPr>
          <w:lang w:eastAsia="zh-CN"/>
        </w:rPr>
      </w:pPr>
      <w:r>
        <w:rPr>
          <w:rFonts w:eastAsia="Calibri"/>
          <w:sz w:val="28"/>
          <w:szCs w:val="28"/>
          <w:lang w:eastAsia="en-US"/>
        </w:rPr>
        <w:t xml:space="preserve">Постановление вступает в силу после официального опубликования в городской газете «Рабочий»</w:t>
      </w:r>
      <w:r>
        <w:rPr>
          <w:lang w:eastAsia="zh-CN"/>
        </w:rPr>
      </w:r>
      <w:r/>
    </w:p>
    <w:p>
      <w:pPr>
        <w:pStyle w:val="689"/>
        <w:numPr>
          <w:ilvl w:val="0"/>
          <w:numId w:val="19"/>
        </w:numPr>
        <w:ind w:left="0" w:firstLine="709"/>
        <w:jc w:val="both"/>
        <w:widowControl w:val="off"/>
        <w:tabs>
          <w:tab w:val="clear" w:pos="-710" w:leader="none"/>
          <w:tab w:val="num" w:pos="0" w:leader="none"/>
          <w:tab w:val="left" w:pos="993" w:leader="none"/>
          <w:tab w:val="left" w:pos="1276" w:leader="none"/>
        </w:tabs>
        <w:rPr>
          <w:lang w:eastAsia="zh-CN"/>
        </w:rPr>
      </w:pPr>
      <w:r>
        <w:rPr>
          <w:rFonts w:eastAsia="Calibri"/>
          <w:sz w:val="28"/>
          <w:szCs w:val="28"/>
          <w:lang w:eastAsia="en-US"/>
        </w:rPr>
        <w:t xml:space="preserve">Контроль за исполнением возложить на заместителя Главы города по вопросам жизнеобеспечения (Д.В. Иванов). </w:t>
      </w:r>
      <w:r>
        <w:rPr>
          <w:lang w:eastAsia="zh-CN"/>
        </w:rPr>
      </w:r>
      <w:r/>
    </w:p>
    <w:p>
      <w:pPr>
        <w:pStyle w:val="689"/>
        <w:tabs>
          <w:tab w:val="left" w:pos="993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  <w:r/>
    </w:p>
    <w:p>
      <w:pPr>
        <w:pStyle w:val="689"/>
        <w:ind w:right="-2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</w:r>
      <w:r/>
    </w:p>
    <w:p>
      <w:pPr>
        <w:pStyle w:val="689"/>
        <w:ind w:right="-2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города Сосновоборска     </w:t>
      </w:r>
      <w:r>
        <w:rPr>
          <w:sz w:val="28"/>
          <w:szCs w:val="28"/>
          <w:lang w:eastAsia="zh-CN"/>
        </w:rPr>
        <w:t xml:space="preserve">                          </w:t>
      </w:r>
      <w:r>
        <w:rPr>
          <w:sz w:val="28"/>
          <w:szCs w:val="28"/>
          <w:lang w:eastAsia="zh-CN"/>
        </w:rPr>
        <w:t xml:space="preserve">                              А.С. </w:t>
      </w:r>
      <w:r>
        <w:rPr>
          <w:sz w:val="28"/>
          <w:szCs w:val="28"/>
          <w:lang w:eastAsia="zh-CN"/>
        </w:rPr>
        <w:t xml:space="preserve">Кудрявцев</w:t>
      </w:r>
      <w:r>
        <w:rPr>
          <w:sz w:val="28"/>
          <w:szCs w:val="28"/>
          <w:lang w:eastAsia="zh-CN"/>
        </w:rPr>
      </w:r>
      <w:r/>
    </w:p>
    <w:p>
      <w:pPr>
        <w:pStyle w:val="689"/>
        <w:ind w:right="-2"/>
        <w:jc w:val="both"/>
        <w:rPr>
          <w:sz w:val="28"/>
          <w:szCs w:val="28"/>
          <w:lang w:eastAsia="zh-CN"/>
        </w:rPr>
        <w:sectPr>
          <w:footnotePr/>
          <w:endnotePr/>
          <w:type w:val="nextPage"/>
          <w:pgSz w:w="11906" w:h="16838" w:orient="portrait"/>
          <w:pgMar w:top="567" w:right="851" w:bottom="567" w:left="1418" w:header="425" w:footer="709" w:gutter="0"/>
          <w:cols w:num="1" w:sep="0" w:space="708" w:equalWidth="1"/>
          <w:docGrid w:linePitch="360"/>
        </w:sectPr>
      </w:pPr>
      <w:r>
        <w:rPr>
          <w:sz w:val="28"/>
          <w:szCs w:val="28"/>
          <w:lang w:eastAsia="zh-CN"/>
        </w:rPr>
      </w:r>
      <w:r/>
    </w:p>
    <w:p>
      <w:pPr>
        <w:pStyle w:val="689"/>
        <w:jc w:val="right"/>
        <w:rPr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                              </w:t>
      </w:r>
      <w:r>
        <w:rPr>
          <w:lang w:eastAsia="zh-CN"/>
        </w:rPr>
        <w:t xml:space="preserve">Приложение к постановлению </w:t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администрации города от 31.03.2023 №470     </w:t>
        <w:tab/>
        <w:tab/>
        <w:tab/>
        <w:tab/>
        <w:tab/>
        <w:t xml:space="preserve"> </w:t>
      </w:r>
      <w:r/>
    </w:p>
    <w:p>
      <w:pPr>
        <w:pStyle w:val="689"/>
        <w:jc w:val="center"/>
        <w:rPr>
          <w:lang w:eastAsia="zh-CN"/>
        </w:rPr>
      </w:pPr>
      <w:r>
        <w:rPr>
          <w:lang w:eastAsia="zh-CN"/>
        </w:rPr>
        <w:t xml:space="preserve"> </w:t>
      </w:r>
      <w:r>
        <w:rPr>
          <w:b/>
          <w:lang w:eastAsia="zh-CN"/>
        </w:rPr>
        <w:t xml:space="preserve">Перечень целевых показателей и показателей результативности программы</w:t>
      </w:r>
      <w:r>
        <w:rPr>
          <w:lang w:eastAsia="zh-CN"/>
        </w:rPr>
      </w:r>
      <w:r/>
    </w:p>
    <w:p>
      <w:pPr>
        <w:pStyle w:val="689"/>
        <w:jc w:val="center"/>
        <w:rPr>
          <w:lang w:eastAsia="zh-CN"/>
        </w:rPr>
      </w:pPr>
      <w:r>
        <w:rPr>
          <w:lang w:eastAsia="zh-CN"/>
        </w:rPr>
        <w:t xml:space="preserve">с расшифровкой плановых значений по годам ее реализации</w:t>
      </w:r>
      <w:r/>
    </w:p>
    <w:p>
      <w:pPr>
        <w:pStyle w:val="689"/>
        <w:rPr>
          <w:lang w:eastAsia="zh-CN"/>
        </w:rPr>
      </w:pPr>
      <w:r>
        <w:rPr>
          <w:lang w:eastAsia="zh-CN"/>
        </w:rPr>
      </w:r>
      <w:r/>
    </w:p>
    <w:tbl>
      <w:tblPr>
        <w:tblW w:w="0" w:type="auto"/>
        <w:tblInd w:w="70" w:type="dxa"/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275"/>
        <w:gridCol w:w="993"/>
        <w:gridCol w:w="1984"/>
        <w:gridCol w:w="992"/>
        <w:gridCol w:w="993"/>
        <w:gridCol w:w="708"/>
        <w:gridCol w:w="708"/>
        <w:gridCol w:w="708"/>
      </w:tblGrid>
      <w:tr>
        <w:trPr>
          <w:cantSplit/>
          <w:trHeight w:val="84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№ п/п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Цели, задачи, показатели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Единица</w:t>
              <w:br w:type="textWrapping" w:clear="all"/>
              <w:t xml:space="preserve">измерения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Вес показателя 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Источник </w:t>
              <w:br w:type="textWrapping" w:clear="all"/>
              <w:t xml:space="preserve">информации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2020 год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2021 год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2022 год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2023</w:t>
            </w:r>
            <w:r/>
          </w:p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год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2024 год</w:t>
            </w:r>
            <w:r/>
          </w:p>
        </w:tc>
      </w:tr>
      <w:tr>
        <w:trPr>
          <w:cantSplit/>
          <w:trHeight w:val="240"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gridSpan w:val="9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748" w:type="dxa"/>
            <w:vAlign w:val="top"/>
            <w:textDirection w:val="lrTb"/>
            <w:noWrap w:val="false"/>
          </w:tcPr>
          <w:p>
            <w:pPr>
              <w:pStyle w:val="689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Цель: противодействие терроризму и экстремизму и защита жизни граждан, проживающих на территории города Сосновоборска от террористических и экстремистских актов</w:t>
            </w:r>
            <w:r/>
          </w:p>
        </w:tc>
      </w:tr>
      <w:tr>
        <w:trPr>
          <w:cantSplit/>
          <w:trHeight w:val="6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89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количество воспитательных, пропагандистских мероприятий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Ед.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0,25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Межведомственный мониторинг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17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89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количество размещенных публикаций на сайте администрации города и на информационных стендах на территории города Сосновоборска</w:t>
            </w:r>
            <w:r/>
          </w:p>
          <w:p>
            <w:pPr>
              <w:pStyle w:val="689"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материалов по разъяснению правил поведения и действий населения при угрозе, или возникновении терактов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Ед.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0,25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Ведомственная отчетность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13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748" w:type="dxa"/>
            <w:vAlign w:val="top"/>
            <w:textDirection w:val="lrTb"/>
            <w:noWrap w:val="false"/>
          </w:tcPr>
          <w:p>
            <w:pPr>
              <w:pStyle w:val="689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Задача 1: проведение воспитательной, пропагандистской работы с населением, направленной на предупреждение терроризма и экстремизма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89"/>
              <w:jc w:val="both"/>
              <w:widowControl w:val="off"/>
              <w:rPr>
                <w:lang w:eastAsia="zh-CN"/>
              </w:rPr>
            </w:pPr>
            <w:r>
              <w:rPr>
                <w:lang w:eastAsia="zh-CN"/>
              </w:rPr>
              <w:t xml:space="preserve">Разработка и изготовление наглядно-агитационной продукции (памяток, брошюр, календарей, информационных щитов и т.п.) антитеррористической направленности,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Ед.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0,125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Ведомственная отчетность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552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1000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1500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2000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2500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89"/>
              <w:jc w:val="both"/>
              <w:widowControl w:val="off"/>
              <w:rPr>
                <w:lang w:eastAsia="zh-CN"/>
              </w:rPr>
            </w:pPr>
            <w:r>
              <w:rPr>
                <w:lang w:eastAsia="zh-CN"/>
              </w:rPr>
              <w:t xml:space="preserve">Информирование населения города о порядке действий при угрозе возникновения террористических актов, посредством размещения информации в СМИ</w:t>
            </w:r>
            <w:r>
              <w:rPr>
                <w:lang w:eastAsia="zh-CN"/>
              </w:rPr>
            </w:r>
            <w:r/>
          </w:p>
          <w:p>
            <w:pPr>
              <w:pStyle w:val="689"/>
              <w:jc w:val="both"/>
              <w:widowControl w:val="off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Ед.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0,125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Мониторинг сайта, СМИ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8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748" w:type="dxa"/>
            <w:vAlign w:val="top"/>
            <w:textDirection w:val="lrTb"/>
            <w:noWrap w:val="false"/>
          </w:tcPr>
          <w:p>
            <w:pPr>
              <w:pStyle w:val="689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Задача 2: организация воспитательной работы в объектах социальной сферы, учреждений образования, культуры и объектах с массовым скоплением граждан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89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Проведение в учебных заведениях мероприятий, направ</w:t>
            </w:r>
            <w:r>
              <w:rPr>
                <w:lang w:eastAsia="zh-CN"/>
              </w:rPr>
              <w:t xml:space="preserve">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 информационно-пропагандистских материалов профилактического характера антитеррористической направленности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Ед.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0,125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Межведомственный мониторинг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4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89"/>
              <w:jc w:val="center"/>
            </w:pPr>
            <w:r>
              <w:rPr>
                <w:lang w:eastAsia="zh-CN"/>
              </w:rPr>
              <w:t xml:space="preserve">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89"/>
              <w:jc w:val="both"/>
              <w:rPr>
                <w:lang w:eastAsia="zh-CN"/>
              </w:rPr>
            </w:pPr>
            <w:r>
              <w:rPr>
                <w:rFonts w:eastAsia="Calibri"/>
                <w:lang w:eastAsia="en-US"/>
              </w:rPr>
              <w:t xml:space="preserve">Проведение мероприятий по профилактике  противодействия распространению влияния со стороны  украинских радикальных структур идеологии терроризма и неонацизма, с обязательным </w:t>
            </w:r>
            <w:r>
              <w:rPr>
                <w:rFonts w:eastAsia="Calibri"/>
                <w:color w:val="000000"/>
                <w:lang w:eastAsia="en-US"/>
              </w:rPr>
              <w:t xml:space="preserve">охватом контингентов лиц, подверженных  данному влиянию.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Ед.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0,125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Межведомственный мониторинг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4</w:t>
            </w:r>
            <w:r/>
          </w:p>
        </w:tc>
      </w:tr>
      <w:tr>
        <w:trPr>
          <w:cantSplit/>
          <w:trHeight w:val="240"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7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89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Распространение среди читателей библиотек информационно-пропагандистских материалов профилактического характера антитеррористической направленности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Ед.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0,125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Межведомственный мониторинг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700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700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700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700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700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89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Организация размещения в местах массового пребывания людей средств наглядной агитации (плакаты, листовки), предупреждающих о необходимости бдительности в связи с возможностью террористических актов   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Ед.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0,125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Ведомственная отчетность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4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748" w:type="dxa"/>
            <w:vAlign w:val="top"/>
            <w:textDirection w:val="lrTb"/>
            <w:noWrap w:val="false"/>
          </w:tcPr>
          <w:p>
            <w:pPr>
              <w:pStyle w:val="689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Задача 3: уменьшение проявлений экстремизма и негативного отношения к лицам других национальностей и религиозных конфессий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89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Размещение памяток толерантного поведения к людям других национальностей и религиозных конфессий на официальном сайте администрации города Сосновоборска в сети Интернет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Ед.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0,125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Мониторинг сайта, СМИ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600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89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Создание в библиотечной сети условий для хранения, обновления и доступного пользования информативно-воспитательной литературой, способствующей:</w:t>
            </w:r>
            <w:r/>
          </w:p>
          <w:p>
            <w:pPr>
              <w:pStyle w:val="689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-  укреплению межнациональных отношений, чувства уважения к традициям граждан различных национальностей;</w:t>
            </w:r>
            <w:r/>
          </w:p>
          <w:p>
            <w:pPr>
              <w:pStyle w:val="689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- негативному восприятию проявлений социальной, расовой, национальной или религиозной розни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Ед.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0,125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Межведомственный мониторинг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4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748" w:type="dxa"/>
            <w:vAlign w:val="top"/>
            <w:textDirection w:val="lrTb"/>
            <w:noWrap w:val="false"/>
          </w:tcPr>
          <w:p>
            <w:pPr>
              <w:pStyle w:val="689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Задача 4: недопущение наличия свастики и иных элементов экстремистской направленности на объектах  инфраструктуры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89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Проверка объектов муниципальной собственности на предмет наличия свастики и иных элементов экстремистской направленности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Ед.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0,125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Ведомственная отчетность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25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17</w:t>
            </w:r>
            <w:r/>
          </w:p>
        </w:tc>
      </w:tr>
      <w:tr>
        <w:trPr>
          <w:cantSplit/>
          <w:trHeight w:val="240"/>
        </w:trPr>
        <w:tc>
          <w:tcPr>
            <w:gridSpan w:val="10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457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Подпрограмма 1.  «Меры по  предупреждению проявлений терроризма и экстремизма на территории города Сосновоборска»</w:t>
            </w:r>
            <w:r/>
          </w:p>
        </w:tc>
      </w:tr>
      <w:tr>
        <w:trPr>
          <w:cantSplit/>
          <w:trHeight w:val="240"/>
        </w:trPr>
        <w:tc>
          <w:tcPr>
            <w:gridSpan w:val="10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457" w:type="dxa"/>
            <w:vAlign w:val="top"/>
            <w:textDirection w:val="lrTb"/>
            <w:noWrap w:val="false"/>
          </w:tcPr>
          <w:p>
            <w:pPr>
              <w:pStyle w:val="689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Цель: соз</w:t>
            </w:r>
            <w:r>
              <w:rPr>
                <w:lang w:eastAsia="zh-CN"/>
              </w:rPr>
              <w:t xml:space="preserve">дание условий для эффективной работы по принятию и реализации мер, направленных на профилактику терроризма и экстремизма, в том числе на выявление и предупреждение причин и условий, способствующих осуществлению террористических и экстремистских проявлений </w:t>
            </w:r>
            <w:r/>
          </w:p>
        </w:tc>
      </w:tr>
      <w:tr>
        <w:trPr>
          <w:cantSplit/>
          <w:trHeight w:val="240"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12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89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количество случаев проявления экстремизма и негативного отношения к лицам других национальностей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Ед.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0,25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Ведомственная отчетность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0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0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0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0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0</w:t>
            </w:r>
            <w:r/>
          </w:p>
        </w:tc>
      </w:tr>
      <w:tr>
        <w:trPr>
          <w:cantSplit/>
          <w:trHeight w:val="240"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13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89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количество совершенных актов экстремистской направленности против соблюдения прав человека на территории города Сосновоборска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Ед.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0,25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Ведомственная отчетность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0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0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0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0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0</w:t>
            </w:r>
            <w:r/>
          </w:p>
        </w:tc>
      </w:tr>
      <w:tr>
        <w:trPr>
          <w:cantSplit/>
          <w:trHeight w:val="240"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14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89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Количество совершенных террористических актов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Ед.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0,25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Ведомственная отчетность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0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0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0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0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0</w:t>
            </w:r>
            <w:r/>
          </w:p>
        </w:tc>
      </w:tr>
      <w:tr>
        <w:trPr>
          <w:cantSplit/>
          <w:trHeight w:val="240"/>
        </w:trPr>
        <w:tc>
          <w:tcPr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457" w:type="dxa"/>
            <w:vAlign w:val="top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Подпрограмма 2.«Порядок функционирования ЕДДС города Сосновоборска в режимах повседневной деятельности, повышенной готовности и чрезвычайной ситуации»  </w:t>
            </w:r>
            <w:r/>
          </w:p>
        </w:tc>
      </w:tr>
      <w:tr>
        <w:trPr>
          <w:cantSplit/>
          <w:trHeight w:val="240"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89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gridSpan w:val="9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748" w:type="dxa"/>
            <w:vAlign w:val="top"/>
            <w:textDirection w:val="lrTb"/>
            <w:noWrap w:val="false"/>
          </w:tcPr>
          <w:p>
            <w:pPr>
              <w:pStyle w:val="689"/>
              <w:ind w:left="34"/>
              <w:jc w:val="both"/>
              <w:tabs>
                <w:tab w:val="left" w:pos="567" w:leader="none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Задача 5: сбор и обработка данных, необходимых для подготовки и принятия управленческих решений по предупреждению и ликвидации ЧС (происшествий), а также контроль их исполнения;</w:t>
            </w:r>
            <w:r/>
          </w:p>
        </w:tc>
      </w:tr>
      <w:tr>
        <w:trPr>
          <w:cantSplit/>
          <w:trHeight w:val="240"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89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15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89"/>
              <w:jc w:val="both"/>
              <w:tabs>
                <w:tab w:val="left" w:pos="567" w:leader="none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количество происшествий на территории МО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both"/>
              <w:tabs>
                <w:tab w:val="left" w:pos="567" w:leader="none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Ед.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89"/>
              <w:jc w:val="both"/>
              <w:tabs>
                <w:tab w:val="left" w:pos="567" w:leader="none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0,25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89"/>
              <w:jc w:val="both"/>
              <w:tabs>
                <w:tab w:val="left" w:pos="567" w:leader="none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Межведомственный мониторинг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tabs>
                <w:tab w:val="left" w:pos="567" w:leader="none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tabs>
                <w:tab w:val="left" w:pos="567" w:leader="none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-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tabs>
                <w:tab w:val="left" w:pos="567" w:leader="none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23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tabs>
                <w:tab w:val="left" w:pos="567" w:leader="none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22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tabs>
                <w:tab w:val="left" w:pos="567" w:leader="none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21</w:t>
            </w:r>
            <w:r/>
          </w:p>
        </w:tc>
      </w:tr>
      <w:tr>
        <w:trPr>
          <w:cantSplit/>
          <w:trHeight w:val="240"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89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16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89"/>
              <w:jc w:val="both"/>
              <w:tabs>
                <w:tab w:val="left" w:pos="567" w:leader="none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количество обращений граждан по вопросам безопасности количество обращений, сообщений от населения, организаций об угрозе или факте возникновения ЧС (происшествий);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both"/>
              <w:tabs>
                <w:tab w:val="left" w:pos="567" w:leader="none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Ед.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89"/>
              <w:jc w:val="both"/>
              <w:tabs>
                <w:tab w:val="left" w:pos="567" w:leader="none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0,25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89"/>
              <w:jc w:val="both"/>
              <w:tabs>
                <w:tab w:val="left" w:pos="567" w:leader="none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Ведомственная отчетность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tabs>
                <w:tab w:val="left" w:pos="567" w:leader="none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10048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tabs>
                <w:tab w:val="left" w:pos="567" w:leader="none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10235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tabs>
                <w:tab w:val="left" w:pos="567" w:leader="none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10560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tabs>
                <w:tab w:val="left" w:pos="567" w:leader="none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10610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tabs>
                <w:tab w:val="left" w:pos="567" w:leader="none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10660</w:t>
            </w:r>
            <w:r/>
          </w:p>
        </w:tc>
      </w:tr>
      <w:tr>
        <w:trPr>
          <w:cantSplit/>
          <w:trHeight w:val="240"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89"/>
              <w:jc w:val="both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89"/>
              <w:ind w:right="-57"/>
              <w:jc w:val="both"/>
              <w:widowControl w:val="off"/>
              <w:tabs>
                <w:tab w:val="left" w:pos="567" w:leader="none"/>
                <w:tab w:val="left" w:pos="718" w:leader="none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Задача 6: </w:t>
            </w:r>
            <w:r>
              <w:rPr>
                <w:lang w:val="en-US" w:eastAsia="zh-CN"/>
              </w:rPr>
              <w:t xml:space="preserve">оповещение руководящего состава органа местного самоуправления, органов управления и</w:t>
            </w:r>
            <w:r>
              <w:rPr>
                <w:lang w:eastAsia="zh-CN"/>
              </w:rPr>
              <w:t xml:space="preserve"> </w:t>
            </w:r>
            <w:r>
              <w:rPr>
                <w:lang w:val="en-US" w:eastAsia="zh-CN"/>
              </w:rPr>
              <w:t xml:space="preserve">сил </w:t>
            </w:r>
            <w:r>
              <w:rPr>
                <w:lang w:eastAsia="zh-CN"/>
              </w:rPr>
              <w:t xml:space="preserve">СГМЗ ТП </w:t>
            </w:r>
            <w:r>
              <w:rPr>
                <w:lang w:val="en-US" w:eastAsia="zh-CN"/>
              </w:rPr>
              <w:t xml:space="preserve">РСЧС</w:t>
            </w:r>
            <w:r>
              <w:rPr>
                <w:lang w:eastAsia="zh-CN"/>
              </w:rPr>
              <w:t xml:space="preserve">, </w:t>
            </w:r>
            <w:r>
              <w:rPr>
                <w:lang w:val="en-US" w:eastAsia="zh-CN"/>
              </w:rPr>
              <w:t xml:space="preserve">ДДС</w:t>
            </w:r>
            <w:r>
              <w:rPr>
                <w:lang w:eastAsia="zh-CN"/>
              </w:rPr>
              <w:t xml:space="preserve">, </w:t>
            </w:r>
            <w:r>
              <w:rPr>
                <w:lang w:val="en-US" w:eastAsia="zh-CN"/>
              </w:rPr>
              <w:t xml:space="preserve">действующих на территории </w:t>
            </w:r>
            <w:r>
              <w:rPr>
                <w:lang w:eastAsia="zh-CN"/>
              </w:rPr>
              <w:t xml:space="preserve">города</w:t>
            </w:r>
            <w:r>
              <w:rPr>
                <w:lang w:val="en-US" w:eastAsia="zh-CN"/>
              </w:rPr>
              <w:t xml:space="preserve"> об</w:t>
            </w:r>
            <w:r>
              <w:rPr>
                <w:lang w:eastAsia="zh-CN"/>
              </w:rPr>
              <w:t xml:space="preserve"> </w:t>
            </w:r>
            <w:r>
              <w:rPr>
                <w:lang w:val="en-US" w:eastAsia="zh-CN"/>
              </w:rPr>
              <w:t xml:space="preserve">угрозе возникновения или возникновении ЧС (происшествий);</w:t>
            </w:r>
            <w:r>
              <w:rPr>
                <w:lang w:eastAsia="zh-CN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89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17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89"/>
              <w:jc w:val="both"/>
              <w:tabs>
                <w:tab w:val="left" w:pos="567" w:leader="none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количество совместных действий (тренировок) с экстренными оперативными службами, организациями (объектами) по предупреждению и ликвидации ЧС (происшествий)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both"/>
              <w:tabs>
                <w:tab w:val="left" w:pos="567" w:leader="none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Ед.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89"/>
              <w:jc w:val="both"/>
              <w:tabs>
                <w:tab w:val="left" w:pos="567" w:leader="none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0,25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89"/>
              <w:jc w:val="both"/>
              <w:tabs>
                <w:tab w:val="left" w:pos="567" w:leader="none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Ведомственная отчетность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tabs>
                <w:tab w:val="left" w:pos="567" w:leader="none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18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tabs>
                <w:tab w:val="left" w:pos="567" w:leader="none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20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tabs>
                <w:tab w:val="left" w:pos="567" w:leader="none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25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tabs>
                <w:tab w:val="left" w:pos="567" w:leader="none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30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tabs>
                <w:tab w:val="left" w:pos="567" w:leader="none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35</w:t>
            </w:r>
            <w:r/>
          </w:p>
        </w:tc>
      </w:tr>
      <w:tr>
        <w:trPr>
          <w:cantSplit/>
          <w:trHeight w:val="240"/>
        </w:trPr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689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18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89"/>
              <w:jc w:val="both"/>
              <w:tabs>
                <w:tab w:val="left" w:pos="567" w:leader="none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количество отработки (корректировки) паспортов безопасности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89"/>
              <w:jc w:val="both"/>
              <w:tabs>
                <w:tab w:val="left" w:pos="567" w:leader="none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Ед.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89"/>
              <w:jc w:val="both"/>
              <w:tabs>
                <w:tab w:val="left" w:pos="567" w:leader="none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0,25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89"/>
              <w:jc w:val="both"/>
              <w:tabs>
                <w:tab w:val="left" w:pos="567" w:leader="none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Межведомствен</w:t>
            </w:r>
            <w:r/>
          </w:p>
          <w:p>
            <w:pPr>
              <w:pStyle w:val="689"/>
              <w:jc w:val="both"/>
              <w:tabs>
                <w:tab w:val="left" w:pos="567" w:leader="none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ный мониторинг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tabs>
                <w:tab w:val="left" w:pos="567" w:leader="none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62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tabs>
                <w:tab w:val="left" w:pos="567" w:leader="none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56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tabs>
                <w:tab w:val="left" w:pos="567" w:leader="none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52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tabs>
                <w:tab w:val="left" w:pos="567" w:leader="none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54</w:t>
            </w:r>
            <w:r/>
          </w:p>
        </w:tc>
        <w:tc>
          <w:tcPr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689"/>
              <w:jc w:val="center"/>
              <w:tabs>
                <w:tab w:val="left" w:pos="567" w:leader="none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56</w:t>
            </w:r>
            <w:r/>
          </w:p>
        </w:tc>
      </w:tr>
    </w:tbl>
    <w:p>
      <w:pPr>
        <w:pStyle w:val="689"/>
        <w:ind w:left="8460" w:firstLine="754"/>
        <w:rPr>
          <w:lang w:eastAsia="zh-CN"/>
        </w:rPr>
        <w:outlineLvl w:val="2"/>
      </w:pPr>
      <w:r>
        <w:rPr>
          <w:lang w:eastAsia="zh-CN"/>
        </w:rPr>
      </w:r>
      <w:r/>
    </w:p>
    <w:p>
      <w:pPr>
        <w:pStyle w:val="689"/>
        <w:ind w:left="8460" w:firstLine="754"/>
        <w:rPr>
          <w:lang w:eastAsia="zh-CN"/>
        </w:rPr>
        <w:outlineLvl w:val="2"/>
      </w:pPr>
      <w:r>
        <w:rPr>
          <w:lang w:eastAsia="zh-CN"/>
        </w:rPr>
      </w:r>
      <w:r/>
    </w:p>
    <w:p>
      <w:pPr>
        <w:pStyle w:val="689"/>
        <w:ind w:left="8460" w:firstLine="754"/>
        <w:rPr>
          <w:lang w:eastAsia="zh-CN"/>
        </w:rPr>
        <w:outlineLvl w:val="2"/>
      </w:pPr>
      <w:r>
        <w:rPr>
          <w:lang w:eastAsia="zh-CN"/>
        </w:rPr>
      </w:r>
      <w:r/>
    </w:p>
    <w:p>
      <w:pPr>
        <w:pStyle w:val="689"/>
        <w:rPr>
          <w:lang w:eastAsia="zh-CN"/>
        </w:rPr>
      </w:pPr>
      <w:r>
        <w:rPr>
          <w:lang w:eastAsia="zh-CN"/>
        </w:rPr>
        <w:t xml:space="preserve">      </w:t>
      </w:r>
      <w:r/>
    </w:p>
    <w:p>
      <w:pPr>
        <w:pStyle w:val="689"/>
        <w:ind w:right="-2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  <w:r/>
    </w:p>
    <w:sectPr>
      <w:footnotePr/>
      <w:endnotePr/>
      <w:type w:val="nextPage"/>
      <w:pgSz w:w="16838" w:h="11906" w:orient="landscape"/>
      <w:pgMar w:top="624" w:right="851" w:bottom="624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360" w:hanging="360"/>
        <w:tabs>
          <w:tab w:val="num" w:pos="-710" w:leader="none"/>
        </w:tabs>
      </w:pPr>
      <w:rPr>
        <w:rFonts w:ascii="Times New Roman" w:hAnsi="Times New Roman" w:cs="Times New Roman"/>
        <w:sz w:val="28"/>
        <w:szCs w:val="28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89"/>
        <w:ind w:left="688" w:hanging="405"/>
        <w:tabs>
          <w:tab w:val="num" w:pos="-72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720" w:hanging="720"/>
        <w:tabs>
          <w:tab w:val="num" w:pos="-71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720" w:hanging="720"/>
        <w:tabs>
          <w:tab w:val="num" w:pos="-71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1080" w:hanging="1080"/>
        <w:tabs>
          <w:tab w:val="num" w:pos="-71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1080" w:hanging="1080"/>
        <w:tabs>
          <w:tab w:val="num" w:pos="-71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1080" w:hanging="1080"/>
        <w:tabs>
          <w:tab w:val="num" w:pos="-71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1440" w:hanging="1440"/>
        <w:tabs>
          <w:tab w:val="num" w:pos="-71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1440" w:hanging="1440"/>
        <w:tabs>
          <w:tab w:val="num" w:pos="-71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0" w:firstLine="284"/>
        <w:tabs>
          <w:tab w:val="num" w:pos="709" w:leader="none"/>
        </w:tabs>
      </w:pPr>
      <w:rPr>
        <w:rFonts w:ascii="Times New Roman" w:hAnsi="Times New Roman" w:eastAsia="Times New Roman" w:cs="Times New Roman"/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pStyle w:val="689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9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9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9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9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9"/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9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89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1800" w:hanging="1800"/>
      </w:pPr>
      <w:rPr>
        <w:color w:val="00000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12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687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89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9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7472" w:hanging="1800"/>
      </w:pPr>
      <w:rPr>
        <w:rFonts w:eastAsia="Calibri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9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89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2160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687" w:hanging="180"/>
      </w:pPr>
    </w:lvl>
  </w:abstractNum>
  <w:abstractNum w:abstractNumId="9">
    <w:multiLevelType w:val="hybridMultilevel"/>
    <w:lvl w:ilvl="0">
      <w:start w:val="1"/>
      <w:numFmt w:val="bullet"/>
      <w:pStyle w:val="727"/>
      <w:isLgl w:val="false"/>
      <w:suff w:val="tab"/>
      <w:lvlText w:val=""/>
      <w:lvlJc w:val="left"/>
      <w:pPr>
        <w:pStyle w:val="689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89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9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9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9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9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9"/>
        <w:ind w:left="6688" w:hanging="360"/>
        <w:tabs>
          <w:tab w:val="num" w:pos="6688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89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9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9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9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9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9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9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9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9"/>
        <w:ind w:left="648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9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89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7480" w:hanging="1800"/>
      </w:pPr>
      <w:rPr>
        <w:color w:val="000000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66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42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120" w:hanging="180"/>
        <w:tabs>
          <w:tab w:val="num" w:pos="612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120" w:hanging="180"/>
        <w:tabs>
          <w:tab w:val="num" w:pos="612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89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9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89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8040" w:hanging="180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13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20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742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34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41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902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6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63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7062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120" w:hanging="180"/>
        <w:tabs>
          <w:tab w:val="num" w:pos="612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720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9"/>
      </w:p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450" w:hanging="450"/>
      </w:pPr>
    </w:lvl>
    <w:lvl w:ilvl="1">
      <w:start w:val="2"/>
      <w:numFmt w:val="decimal"/>
      <w:isLgl w:val="false"/>
      <w:suff w:val="tab"/>
      <w:lvlText w:val="%1.%2."/>
      <w:lvlJc w:val="left"/>
      <w:pPr>
        <w:pStyle w:val="689"/>
        <w:ind w:left="199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327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491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618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782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946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1073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12376" w:hanging="216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89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9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9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9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9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9"/>
        <w:ind w:left="6480" w:hanging="36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1683" w:hanging="975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9"/>
        <w:ind w:left="2073" w:hanging="136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2073" w:hanging="136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2073" w:hanging="136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2073" w:hanging="136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21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25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25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2868" w:hanging="216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8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9"/>
      </w:p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9"/>
      </w:p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82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89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89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89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89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89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89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9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9"/>
        <w:ind w:left="2226" w:hanging="1800"/>
      </w:pPr>
    </w:lvl>
  </w:abstractNum>
  <w:abstractNum w:abstractNumId="3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9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89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1800" w:hanging="1800"/>
      </w:pPr>
      <w:rPr>
        <w:color w:val="000000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120" w:hanging="180"/>
        <w:tabs>
          <w:tab w:val="num" w:pos="6120" w:leader="none"/>
        </w:tabs>
      </w:pPr>
    </w:lvl>
  </w:abstractNum>
  <w:abstractNum w:abstractNumId="33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89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89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89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89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89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89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89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9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9"/>
        <w:ind w:left="5208" w:hanging="1800"/>
      </w:pPr>
      <w:rPr>
        <w:color w:val="000000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5668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575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647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719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791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863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935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1007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10798" w:hanging="18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9"/>
      </w:p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120" w:hanging="180"/>
        <w:tabs>
          <w:tab w:val="num" w:pos="6120" w:leader="none"/>
        </w:tabs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2204" w:hanging="360"/>
      </w:pPr>
    </w:lvl>
    <w:lvl w:ilvl="1">
      <w:start w:val="1"/>
      <w:numFmt w:val="decimal"/>
      <w:isLgl w:val="false"/>
      <w:suff w:val="tab"/>
      <w:lvlText w:val="%2."/>
      <w:lvlJc w:val="left"/>
      <w:pPr>
        <w:pStyle w:val="689"/>
        <w:ind w:left="1997" w:hanging="720"/>
      </w:pPr>
      <w:rPr>
        <w:rFonts w:ascii="Times New Roman" w:hAnsi="Times New Roman" w:eastAsia="Times New Roman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256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292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292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3284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364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364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4004" w:hanging="216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66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688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8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9"/>
      </w:p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57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795" w:hanging="435"/>
        <w:tabs>
          <w:tab w:val="num" w:pos="0" w:leader="none"/>
        </w:tabs>
      </w:pPr>
      <w:rPr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pStyle w:val="689"/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pStyle w:val="689"/>
        <w:ind w:left="2160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pStyle w:val="689"/>
        <w:ind w:left="2880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9"/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pStyle w:val="689"/>
        <w:ind w:left="4320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pStyle w:val="689"/>
        <w:ind w:left="5040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9"/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pStyle w:val="689"/>
        <w:ind w:left="6480" w:hanging="360"/>
      </w:pPr>
      <w:rPr>
        <w:rFonts w:ascii="Wingdings" w:hAnsi="Wingdings" w:eastAsia="Wingdings" w:cs="Wingdings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142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9"/>
        <w:ind w:left="180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181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219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220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2584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295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297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3349" w:hanging="216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68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9"/>
      </w:p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num w:numId="1">
    <w:abstractNumId w:val="9"/>
  </w:num>
  <w:num w:numId="2">
    <w:abstractNumId w:val="27"/>
  </w:num>
  <w:num w:numId="3">
    <w:abstractNumId w:val="35"/>
  </w:num>
  <w:num w:numId="4">
    <w:abstractNumId w:val="40"/>
  </w:num>
  <w:num w:numId="5">
    <w:abstractNumId w:val="17"/>
  </w:num>
  <w:num w:numId="6">
    <w:abstractNumId w:val="5"/>
  </w:num>
  <w:num w:numId="7">
    <w:abstractNumId w:val="22"/>
  </w:num>
  <w:num w:numId="8">
    <w:abstractNumId w:val="45"/>
  </w:num>
  <w:num w:numId="9">
    <w:abstractNumId w:val="28"/>
  </w:num>
  <w:num w:numId="10">
    <w:abstractNumId w:val="2"/>
  </w:num>
  <w:num w:numId="11">
    <w:abstractNumId w:val="31"/>
  </w:num>
  <w:num w:numId="12">
    <w:abstractNumId w:val="33"/>
  </w:num>
  <w:num w:numId="13">
    <w:abstractNumId w:val="12"/>
  </w:num>
  <w:num w:numId="14">
    <w:abstractNumId w:val="18"/>
  </w:num>
  <w:num w:numId="15">
    <w:abstractNumId w:val="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14"/>
  </w:num>
  <w:num w:numId="19">
    <w:abstractNumId w:val="0"/>
  </w:num>
  <w:num w:numId="20">
    <w:abstractNumId w:val="6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3"/>
  </w:num>
  <w:num w:numId="24">
    <w:abstractNumId w:val="39"/>
  </w:num>
  <w:num w:numId="25">
    <w:abstractNumId w:val="41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8"/>
  </w:num>
  <w:num w:numId="29">
    <w:abstractNumId w:val="30"/>
  </w:num>
  <w:num w:numId="30">
    <w:abstractNumId w:val="1"/>
  </w:num>
  <w:num w:numId="31">
    <w:abstractNumId w:val="20"/>
  </w:num>
  <w:num w:numId="32">
    <w:abstractNumId w:val="36"/>
  </w:num>
  <w:num w:numId="33">
    <w:abstractNumId w:val="19"/>
  </w:num>
  <w:num w:numId="34">
    <w:abstractNumId w:val="32"/>
  </w:num>
  <w:num w:numId="35">
    <w:abstractNumId w:val="42"/>
  </w:num>
  <w:num w:numId="36">
    <w:abstractNumId w:val="4"/>
  </w:num>
  <w:num w:numId="37">
    <w:abstractNumId w:val="43"/>
  </w:num>
  <w:num w:numId="38">
    <w:abstractNumId w:val="11"/>
  </w:num>
  <w:num w:numId="39">
    <w:abstractNumId w:val="37"/>
  </w:num>
  <w:num w:numId="40">
    <w:abstractNumId w:val="24"/>
  </w:num>
  <w:num w:numId="41">
    <w:abstractNumId w:val="10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21"/>
  </w:num>
  <w:num w:numId="45">
    <w:abstractNumId w:val="34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89"/>
    <w:next w:val="689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89"/>
    <w:next w:val="689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9"/>
    <w:next w:val="68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9"/>
    <w:next w:val="68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9"/>
    <w:next w:val="689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9"/>
    <w:next w:val="68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9"/>
    <w:next w:val="68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9"/>
    <w:next w:val="68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9"/>
    <w:next w:val="68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89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89"/>
    <w:next w:val="68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89"/>
    <w:next w:val="68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89"/>
    <w:next w:val="68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9"/>
    <w:next w:val="68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89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89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89"/>
    <w:next w:val="68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8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8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89"/>
    <w:next w:val="68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9"/>
    <w:next w:val="68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9"/>
    <w:next w:val="68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9"/>
    <w:next w:val="68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9"/>
    <w:next w:val="68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9"/>
    <w:next w:val="68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9"/>
    <w:next w:val="68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9"/>
    <w:next w:val="68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9"/>
    <w:next w:val="68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9"/>
    <w:next w:val="689"/>
    <w:uiPriority w:val="99"/>
    <w:unhideWhenUsed/>
    <w:pPr>
      <w:spacing w:after="0" w:afterAutospacing="0"/>
    </w:pPr>
  </w:style>
  <w:style w:type="paragraph" w:styleId="689" w:default="1">
    <w:name w:val="Normal"/>
    <w:next w:val="689"/>
    <w:link w:val="689"/>
    <w:qFormat/>
    <w:rPr>
      <w:sz w:val="24"/>
      <w:szCs w:val="24"/>
      <w:lang w:val="ru-RU" w:eastAsia="ru-RU" w:bidi="ar-SA"/>
    </w:rPr>
  </w:style>
  <w:style w:type="paragraph" w:styleId="690">
    <w:name w:val="Заголовок 1"/>
    <w:basedOn w:val="689"/>
    <w:next w:val="689"/>
    <w:link w:val="726"/>
    <w:qFormat/>
    <w:pPr>
      <w:jc w:val="center"/>
      <w:keepNext/>
      <w:outlineLvl w:val="0"/>
    </w:pPr>
    <w:rPr>
      <w:b/>
      <w:sz w:val="22"/>
      <w:szCs w:val="20"/>
    </w:rPr>
  </w:style>
  <w:style w:type="paragraph" w:styleId="691">
    <w:name w:val="Заголовок 2"/>
    <w:basedOn w:val="689"/>
    <w:next w:val="689"/>
    <w:link w:val="729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92">
    <w:name w:val="Заголовок 3"/>
    <w:basedOn w:val="689"/>
    <w:next w:val="689"/>
    <w:link w:val="716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93">
    <w:name w:val="Заголовок 4"/>
    <w:basedOn w:val="689"/>
    <w:next w:val="689"/>
    <w:link w:val="745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94">
    <w:name w:val="Заголовок 5"/>
    <w:basedOn w:val="689"/>
    <w:next w:val="689"/>
    <w:link w:val="746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95">
    <w:name w:val="Заголовок 6"/>
    <w:basedOn w:val="689"/>
    <w:next w:val="689"/>
    <w:link w:val="747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96">
    <w:name w:val="Заголовок 7"/>
    <w:basedOn w:val="689"/>
    <w:next w:val="689"/>
    <w:link w:val="748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97">
    <w:name w:val="Заголовок 8"/>
    <w:basedOn w:val="689"/>
    <w:next w:val="689"/>
    <w:link w:val="749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98">
    <w:name w:val="Заголовок 9"/>
    <w:basedOn w:val="689"/>
    <w:next w:val="689"/>
    <w:link w:val="750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99">
    <w:name w:val="Основной шрифт абзаца"/>
    <w:next w:val="699"/>
    <w:link w:val="689"/>
    <w:semiHidden/>
  </w:style>
  <w:style w:type="table" w:styleId="700">
    <w:name w:val="Обычная таблица"/>
    <w:next w:val="700"/>
    <w:link w:val="689"/>
    <w:semiHidden/>
    <w:tblPr/>
  </w:style>
  <w:style w:type="numbering" w:styleId="701">
    <w:name w:val="Нет списка"/>
    <w:next w:val="701"/>
    <w:link w:val="689"/>
    <w:uiPriority w:val="99"/>
    <w:semiHidden/>
  </w:style>
  <w:style w:type="table" w:styleId="702">
    <w:name w:val="Сетка таблицы"/>
    <w:basedOn w:val="700"/>
    <w:next w:val="702"/>
    <w:link w:val="689"/>
    <w:tblPr/>
  </w:style>
  <w:style w:type="character" w:styleId="703">
    <w:name w:val="Гиперссылка"/>
    <w:next w:val="703"/>
    <w:link w:val="689"/>
    <w:uiPriority w:val="99"/>
    <w:rPr>
      <w:color w:val="0000ff"/>
      <w:u w:val="single"/>
    </w:rPr>
  </w:style>
  <w:style w:type="paragraph" w:styleId="704">
    <w:name w:val="Текст выноски"/>
    <w:basedOn w:val="689"/>
    <w:next w:val="704"/>
    <w:link w:val="740"/>
    <w:uiPriority w:val="99"/>
    <w:semiHidden/>
    <w:rPr>
      <w:rFonts w:ascii="Tahoma" w:hAnsi="Tahoma" w:cs="Tahoma"/>
      <w:sz w:val="16"/>
      <w:szCs w:val="16"/>
    </w:rPr>
  </w:style>
  <w:style w:type="paragraph" w:styleId="705">
    <w:name w:val="Абзац списка,мой"/>
    <w:basedOn w:val="689"/>
    <w:next w:val="705"/>
    <w:link w:val="795"/>
    <w:uiPriority w:val="34"/>
    <w:qFormat/>
    <w:pPr>
      <w:contextualSpacing/>
      <w:ind w:left="720"/>
    </w:pPr>
  </w:style>
  <w:style w:type="paragraph" w:styleId="706">
    <w:name w:val="Основной текст с отступом"/>
    <w:basedOn w:val="689"/>
    <w:next w:val="706"/>
    <w:link w:val="707"/>
    <w:uiPriority w:val="99"/>
    <w:unhideWhenUsed/>
    <w:pPr>
      <w:ind w:firstLine="708"/>
      <w:jc w:val="both"/>
    </w:pPr>
    <w:rPr>
      <w:lang w:val="en-US" w:eastAsia="en-US"/>
    </w:rPr>
  </w:style>
  <w:style w:type="character" w:styleId="707">
    <w:name w:val="Основной текст с отступом Знак"/>
    <w:next w:val="707"/>
    <w:link w:val="706"/>
    <w:uiPriority w:val="99"/>
    <w:rPr>
      <w:sz w:val="24"/>
      <w:szCs w:val="24"/>
      <w:lang w:val="en-US" w:eastAsia="en-US"/>
    </w:rPr>
  </w:style>
  <w:style w:type="paragraph" w:styleId="708">
    <w:name w:val="Основной текст"/>
    <w:basedOn w:val="689"/>
    <w:next w:val="708"/>
    <w:link w:val="709"/>
    <w:uiPriority w:val="99"/>
    <w:unhideWhenUsed/>
    <w:pPr>
      <w:spacing w:after="120"/>
    </w:pPr>
    <w:rPr>
      <w:lang w:val="en-US" w:eastAsia="en-US"/>
    </w:rPr>
  </w:style>
  <w:style w:type="character" w:styleId="709">
    <w:name w:val="Основной текст Знак"/>
    <w:next w:val="709"/>
    <w:link w:val="708"/>
    <w:uiPriority w:val="99"/>
    <w:rPr>
      <w:sz w:val="24"/>
      <w:szCs w:val="24"/>
    </w:rPr>
  </w:style>
  <w:style w:type="paragraph" w:styleId="710">
    <w:name w:val="ConsPlusNormal"/>
    <w:next w:val="710"/>
    <w:link w:val="717"/>
    <w:rPr>
      <w:sz w:val="24"/>
      <w:szCs w:val="24"/>
      <w:lang w:val="ru-RU" w:eastAsia="ru-RU" w:bidi="ar-SA"/>
    </w:rPr>
  </w:style>
  <w:style w:type="character" w:styleId="711">
    <w:name w:val="Основной текст_"/>
    <w:next w:val="711"/>
    <w:link w:val="712"/>
    <w:rPr>
      <w:sz w:val="27"/>
      <w:szCs w:val="27"/>
      <w:shd w:val="clear" w:color="auto" w:fill="ffffff"/>
    </w:rPr>
  </w:style>
  <w:style w:type="paragraph" w:styleId="712">
    <w:name w:val="Основной текст1"/>
    <w:basedOn w:val="689"/>
    <w:next w:val="712"/>
    <w:link w:val="711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713">
    <w:name w:val="ConsPlusCell"/>
    <w:next w:val="713"/>
    <w:link w:val="689"/>
    <w:uiPriority w:val="99"/>
    <w:pPr>
      <w:widowControl w:val="off"/>
    </w:pPr>
    <w:rPr>
      <w:rFonts w:ascii="Arial" w:hAnsi="Arial" w:cs="Arial"/>
      <w:lang w:val="ru-RU" w:eastAsia="ru-RU" w:bidi="ar-SA"/>
    </w:rPr>
  </w:style>
  <w:style w:type="paragraph" w:styleId="714">
    <w:name w:val="ConsPlusTitle"/>
    <w:next w:val="714"/>
    <w:link w:val="68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15">
    <w:name w:val="ConsPlusNonformat"/>
    <w:next w:val="715"/>
    <w:link w:val="689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16">
    <w:name w:val="Заголовок 3 Знак"/>
    <w:next w:val="716"/>
    <w:link w:val="692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17">
    <w:name w:val="ConsPlusNormal Знак"/>
    <w:next w:val="717"/>
    <w:link w:val="710"/>
    <w:rPr>
      <w:sz w:val="24"/>
      <w:szCs w:val="24"/>
    </w:rPr>
  </w:style>
  <w:style w:type="character" w:styleId="718">
    <w:name w:val="Название Знак"/>
    <w:next w:val="718"/>
    <w:link w:val="689"/>
    <w:rPr>
      <w:rFonts w:ascii="Cambria" w:hAnsi="Cambria" w:eastAsia="Times New Roman" w:cs="Times New Roman"/>
      <w:b/>
      <w:bCs/>
      <w:sz w:val="32"/>
      <w:szCs w:val="32"/>
    </w:rPr>
  </w:style>
  <w:style w:type="paragraph" w:styleId="719">
    <w:name w:val="Заголовок"/>
    <w:basedOn w:val="689"/>
    <w:next w:val="689"/>
    <w:link w:val="720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20">
    <w:name w:val="Заголовок Знак"/>
    <w:next w:val="720"/>
    <w:link w:val="719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21">
    <w:name w:val="Без интервала"/>
    <w:next w:val="721"/>
    <w:link w:val="689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22">
    <w:name w:val="Заголовок №2_"/>
    <w:next w:val="722"/>
    <w:link w:val="723"/>
    <w:rPr>
      <w:sz w:val="19"/>
      <w:szCs w:val="19"/>
      <w:shd w:val="clear" w:color="auto" w:fill="ffffff"/>
    </w:rPr>
  </w:style>
  <w:style w:type="paragraph" w:styleId="723">
    <w:name w:val="Заголовок №2"/>
    <w:basedOn w:val="689"/>
    <w:next w:val="723"/>
    <w:link w:val="722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24">
    <w:name w:val="Основной текст + Интервал 0 pt"/>
    <w:next w:val="724"/>
    <w:link w:val="689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25">
    <w:name w:val="Обычный (веб)"/>
    <w:basedOn w:val="689"/>
    <w:next w:val="725"/>
    <w:link w:val="689"/>
    <w:uiPriority w:val="99"/>
    <w:unhideWhenUsed/>
    <w:pPr>
      <w:spacing w:before="100" w:beforeAutospacing="1" w:after="100" w:afterAutospacing="1"/>
    </w:pPr>
  </w:style>
  <w:style w:type="character" w:styleId="726">
    <w:name w:val="Заголовок 1 Знак"/>
    <w:next w:val="726"/>
    <w:link w:val="690"/>
    <w:rPr>
      <w:b/>
      <w:sz w:val="22"/>
    </w:rPr>
  </w:style>
  <w:style w:type="numbering" w:styleId="727">
    <w:name w:val="Стиль1"/>
    <w:next w:val="727"/>
    <w:link w:val="689"/>
    <w:uiPriority w:val="99"/>
    <w:pPr>
      <w:numPr>
        <w:numId w:val="1"/>
      </w:numPr>
    </w:pPr>
  </w:style>
  <w:style w:type="character" w:styleId="728">
    <w:name w:val="Строгий"/>
    <w:next w:val="728"/>
    <w:link w:val="689"/>
    <w:uiPriority w:val="22"/>
    <w:qFormat/>
    <w:rPr>
      <w:b/>
      <w:bCs/>
    </w:rPr>
  </w:style>
  <w:style w:type="character" w:styleId="729">
    <w:name w:val="Заголовок 2 Знак"/>
    <w:next w:val="729"/>
    <w:link w:val="691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30">
    <w:name w:val="Основной текст 2"/>
    <w:basedOn w:val="689"/>
    <w:next w:val="730"/>
    <w:link w:val="731"/>
    <w:semiHidden/>
    <w:unhideWhenUsed/>
    <w:pPr>
      <w:spacing w:after="120" w:line="480" w:lineRule="auto"/>
    </w:pPr>
  </w:style>
  <w:style w:type="character" w:styleId="731">
    <w:name w:val="Основной текст 2 Знак"/>
    <w:next w:val="731"/>
    <w:link w:val="730"/>
    <w:semiHidden/>
    <w:rPr>
      <w:sz w:val="24"/>
      <w:szCs w:val="24"/>
    </w:rPr>
  </w:style>
  <w:style w:type="table" w:styleId="732">
    <w:name w:val="Сетка таблицы1"/>
    <w:basedOn w:val="700"/>
    <w:next w:val="702"/>
    <w:link w:val="689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33">
    <w:name w:val="ConsNonformat"/>
    <w:next w:val="733"/>
    <w:link w:val="689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34">
    <w:name w:val="Основной текст7"/>
    <w:basedOn w:val="689"/>
    <w:next w:val="734"/>
    <w:link w:val="689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35">
    <w:name w:val="Верхний колонтитул"/>
    <w:basedOn w:val="689"/>
    <w:next w:val="735"/>
    <w:link w:val="736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36">
    <w:name w:val="Верхний колонтитул Знак"/>
    <w:next w:val="736"/>
    <w:link w:val="735"/>
    <w:uiPriority w:val="99"/>
    <w:rPr>
      <w:sz w:val="24"/>
      <w:szCs w:val="24"/>
      <w:lang w:val="en-US" w:eastAsia="en-US"/>
    </w:rPr>
  </w:style>
  <w:style w:type="paragraph" w:styleId="737">
    <w:name w:val="Нижний колонтитул"/>
    <w:basedOn w:val="689"/>
    <w:next w:val="737"/>
    <w:link w:val="738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38">
    <w:name w:val="Нижний колонтитул Знак"/>
    <w:next w:val="738"/>
    <w:link w:val="737"/>
    <w:uiPriority w:val="99"/>
    <w:rPr>
      <w:sz w:val="24"/>
      <w:szCs w:val="24"/>
      <w:lang w:val="en-US" w:eastAsia="en-US"/>
    </w:rPr>
  </w:style>
  <w:style w:type="numbering" w:styleId="739">
    <w:name w:val="Нет списка1"/>
    <w:next w:val="701"/>
    <w:link w:val="689"/>
    <w:uiPriority w:val="99"/>
    <w:semiHidden/>
    <w:unhideWhenUsed/>
  </w:style>
  <w:style w:type="character" w:styleId="740">
    <w:name w:val="Текст выноски Знак"/>
    <w:next w:val="740"/>
    <w:link w:val="704"/>
    <w:uiPriority w:val="99"/>
    <w:semiHidden/>
    <w:rPr>
      <w:rFonts w:ascii="Tahoma" w:hAnsi="Tahoma" w:cs="Tahoma"/>
      <w:sz w:val="16"/>
      <w:szCs w:val="16"/>
    </w:rPr>
  </w:style>
  <w:style w:type="paragraph" w:styleId="741">
    <w:name w:val=" Знак"/>
    <w:basedOn w:val="689"/>
    <w:next w:val="741"/>
    <w:link w:val="68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42">
    <w:name w:val="Нет списка2"/>
    <w:next w:val="701"/>
    <w:link w:val="689"/>
    <w:uiPriority w:val="99"/>
    <w:semiHidden/>
    <w:unhideWhenUsed/>
  </w:style>
  <w:style w:type="numbering" w:styleId="743">
    <w:name w:val="Нет списка3"/>
    <w:next w:val="701"/>
    <w:link w:val="689"/>
    <w:uiPriority w:val="99"/>
    <w:semiHidden/>
    <w:unhideWhenUsed/>
  </w:style>
  <w:style w:type="paragraph" w:styleId="744">
    <w:name w:val="Default"/>
    <w:next w:val="744"/>
    <w:link w:val="689"/>
    <w:rPr>
      <w:color w:val="000000"/>
      <w:sz w:val="24"/>
      <w:szCs w:val="24"/>
      <w:lang w:val="ru-RU" w:eastAsia="ru-RU" w:bidi="ar-SA"/>
    </w:rPr>
  </w:style>
  <w:style w:type="character" w:styleId="745">
    <w:name w:val="Заголовок 4 Знак"/>
    <w:next w:val="745"/>
    <w:link w:val="693"/>
    <w:uiPriority w:val="9"/>
    <w:semiHidden/>
    <w:rPr>
      <w:rFonts w:ascii="Calibri" w:hAnsi="Calibri"/>
      <w:b/>
      <w:bCs/>
      <w:sz w:val="28"/>
      <w:szCs w:val="28"/>
    </w:rPr>
  </w:style>
  <w:style w:type="character" w:styleId="746">
    <w:name w:val="Заголовок 5 Знак"/>
    <w:next w:val="746"/>
    <w:link w:val="694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47">
    <w:name w:val="Заголовок 6 Знак"/>
    <w:next w:val="747"/>
    <w:link w:val="695"/>
    <w:uiPriority w:val="9"/>
    <w:semiHidden/>
    <w:rPr>
      <w:rFonts w:ascii="Calibri" w:hAnsi="Calibri"/>
      <w:b/>
      <w:bCs/>
      <w:sz w:val="22"/>
      <w:szCs w:val="22"/>
    </w:rPr>
  </w:style>
  <w:style w:type="character" w:styleId="748">
    <w:name w:val="Заголовок 7 Знак"/>
    <w:next w:val="748"/>
    <w:link w:val="696"/>
    <w:uiPriority w:val="9"/>
    <w:semiHidden/>
    <w:rPr>
      <w:rFonts w:ascii="Calibri" w:hAnsi="Calibri"/>
      <w:sz w:val="22"/>
      <w:szCs w:val="22"/>
    </w:rPr>
  </w:style>
  <w:style w:type="character" w:styleId="749">
    <w:name w:val="Заголовок 8 Знак"/>
    <w:next w:val="749"/>
    <w:link w:val="697"/>
    <w:uiPriority w:val="9"/>
    <w:semiHidden/>
    <w:rPr>
      <w:rFonts w:ascii="Calibri" w:hAnsi="Calibri"/>
      <w:i/>
      <w:iCs/>
      <w:sz w:val="22"/>
      <w:szCs w:val="22"/>
    </w:rPr>
  </w:style>
  <w:style w:type="character" w:styleId="750">
    <w:name w:val="Заголовок 9 Знак"/>
    <w:next w:val="750"/>
    <w:link w:val="698"/>
    <w:uiPriority w:val="9"/>
    <w:semiHidden/>
    <w:rPr>
      <w:rFonts w:ascii="Cambria" w:hAnsi="Cambria"/>
      <w:sz w:val="22"/>
      <w:szCs w:val="22"/>
    </w:rPr>
  </w:style>
  <w:style w:type="paragraph" w:styleId="751">
    <w:name w:val="Подзаголовок"/>
    <w:basedOn w:val="689"/>
    <w:next w:val="689"/>
    <w:link w:val="752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52">
    <w:name w:val="Подзаголовок Знак"/>
    <w:next w:val="752"/>
    <w:link w:val="751"/>
    <w:uiPriority w:val="11"/>
    <w:rPr>
      <w:rFonts w:ascii="Cambria" w:hAnsi="Cambria"/>
      <w:sz w:val="22"/>
      <w:szCs w:val="22"/>
    </w:rPr>
  </w:style>
  <w:style w:type="character" w:styleId="753">
    <w:name w:val="Выделение"/>
    <w:next w:val="753"/>
    <w:link w:val="689"/>
    <w:qFormat/>
    <w:rPr>
      <w:rFonts w:ascii="Calibri" w:hAnsi="Calibri"/>
      <w:b/>
      <w:i/>
      <w:iCs/>
    </w:rPr>
  </w:style>
  <w:style w:type="paragraph" w:styleId="754">
    <w:name w:val="Цитата 2"/>
    <w:basedOn w:val="689"/>
    <w:next w:val="689"/>
    <w:link w:val="755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55">
    <w:name w:val="Цитата 2 Знак"/>
    <w:next w:val="755"/>
    <w:link w:val="754"/>
    <w:uiPriority w:val="29"/>
    <w:rPr>
      <w:rFonts w:ascii="Calibri" w:hAnsi="Calibri"/>
      <w:i/>
      <w:sz w:val="22"/>
      <w:szCs w:val="22"/>
    </w:rPr>
  </w:style>
  <w:style w:type="paragraph" w:styleId="756">
    <w:name w:val="Выделенная цитата"/>
    <w:basedOn w:val="689"/>
    <w:next w:val="689"/>
    <w:link w:val="757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57">
    <w:name w:val="Выделенная цитата Знак"/>
    <w:next w:val="757"/>
    <w:link w:val="756"/>
    <w:uiPriority w:val="30"/>
    <w:rPr>
      <w:rFonts w:ascii="Calibri" w:hAnsi="Calibri"/>
      <w:b/>
      <w:i/>
      <w:sz w:val="22"/>
      <w:szCs w:val="22"/>
    </w:rPr>
  </w:style>
  <w:style w:type="character" w:styleId="758">
    <w:name w:val="Слабое выделение"/>
    <w:next w:val="758"/>
    <w:link w:val="689"/>
    <w:uiPriority w:val="19"/>
    <w:qFormat/>
    <w:rPr>
      <w:i/>
      <w:color w:val="5a5a5a"/>
    </w:rPr>
  </w:style>
  <w:style w:type="character" w:styleId="759">
    <w:name w:val="Сильное выделение"/>
    <w:next w:val="759"/>
    <w:link w:val="689"/>
    <w:uiPriority w:val="21"/>
    <w:qFormat/>
    <w:rPr>
      <w:b/>
      <w:i/>
      <w:sz w:val="24"/>
      <w:szCs w:val="24"/>
      <w:u w:val="single"/>
    </w:rPr>
  </w:style>
  <w:style w:type="character" w:styleId="760">
    <w:name w:val="Слабая ссылка"/>
    <w:next w:val="760"/>
    <w:link w:val="689"/>
    <w:uiPriority w:val="31"/>
    <w:qFormat/>
    <w:rPr>
      <w:sz w:val="24"/>
      <w:szCs w:val="24"/>
      <w:u w:val="single"/>
    </w:rPr>
  </w:style>
  <w:style w:type="character" w:styleId="761">
    <w:name w:val="Сильная ссылка"/>
    <w:next w:val="761"/>
    <w:link w:val="689"/>
    <w:uiPriority w:val="32"/>
    <w:qFormat/>
    <w:rPr>
      <w:b/>
      <w:sz w:val="24"/>
      <w:u w:val="single"/>
    </w:rPr>
  </w:style>
  <w:style w:type="character" w:styleId="762">
    <w:name w:val="Название книги"/>
    <w:next w:val="762"/>
    <w:link w:val="689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63">
    <w:name w:val="Заголовок оглавления"/>
    <w:basedOn w:val="690"/>
    <w:next w:val="689"/>
    <w:link w:val="689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64">
    <w:name w:val="Основной текст с отступом 3"/>
    <w:basedOn w:val="689"/>
    <w:next w:val="764"/>
    <w:link w:val="765"/>
    <w:unhideWhenUsed/>
    <w:pPr>
      <w:ind w:left="283"/>
      <w:spacing w:after="120"/>
    </w:pPr>
    <w:rPr>
      <w:sz w:val="16"/>
      <w:szCs w:val="16"/>
    </w:rPr>
  </w:style>
  <w:style w:type="character" w:styleId="765">
    <w:name w:val="Основной текст с отступом 3 Знак"/>
    <w:next w:val="765"/>
    <w:link w:val="764"/>
    <w:rPr>
      <w:sz w:val="16"/>
      <w:szCs w:val="16"/>
    </w:rPr>
  </w:style>
  <w:style w:type="paragraph" w:styleId="766">
    <w:name w:val="Знак"/>
    <w:basedOn w:val="689"/>
    <w:next w:val="766"/>
    <w:link w:val="689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67">
    <w:name w:val="Просмотренная гиперссылка"/>
    <w:next w:val="767"/>
    <w:link w:val="689"/>
    <w:uiPriority w:val="99"/>
    <w:semiHidden/>
    <w:unhideWhenUsed/>
    <w:rPr>
      <w:color w:val="800080"/>
      <w:u w:val="single"/>
    </w:rPr>
  </w:style>
  <w:style w:type="paragraph" w:styleId="768">
    <w:name w:val="ConsTitle"/>
    <w:next w:val="768"/>
    <w:link w:val="689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69">
    <w:name w:val="ConsNormal"/>
    <w:next w:val="769"/>
    <w:link w:val="689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70">
    <w:name w:val=" Знак Знак1"/>
    <w:basedOn w:val="689"/>
    <w:next w:val="770"/>
    <w:link w:val="689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71">
    <w:name w:val="Колонтитул (2)_"/>
    <w:next w:val="771"/>
    <w:link w:val="776"/>
  </w:style>
  <w:style w:type="character" w:styleId="772">
    <w:name w:val="Основной текст (2)_"/>
    <w:next w:val="772"/>
    <w:link w:val="777"/>
  </w:style>
  <w:style w:type="character" w:styleId="773">
    <w:name w:val="Заголовок №1_"/>
    <w:next w:val="773"/>
    <w:link w:val="778"/>
    <w:rPr>
      <w:b/>
      <w:bCs/>
    </w:rPr>
  </w:style>
  <w:style w:type="character" w:styleId="774">
    <w:name w:val="Другое_"/>
    <w:next w:val="774"/>
    <w:link w:val="779"/>
  </w:style>
  <w:style w:type="character" w:styleId="775">
    <w:name w:val="Подпись к таблице_"/>
    <w:next w:val="775"/>
    <w:link w:val="780"/>
  </w:style>
  <w:style w:type="paragraph" w:styleId="776">
    <w:name w:val="Колонтитул (2)"/>
    <w:basedOn w:val="689"/>
    <w:next w:val="776"/>
    <w:link w:val="771"/>
    <w:pPr>
      <w:widowControl w:val="off"/>
    </w:pPr>
    <w:rPr>
      <w:sz w:val="20"/>
      <w:szCs w:val="20"/>
    </w:rPr>
  </w:style>
  <w:style w:type="paragraph" w:styleId="777">
    <w:name w:val="Основной текст (2)"/>
    <w:basedOn w:val="689"/>
    <w:next w:val="777"/>
    <w:link w:val="772"/>
    <w:pPr>
      <w:ind w:left="5600"/>
      <w:widowControl w:val="off"/>
    </w:pPr>
    <w:rPr>
      <w:sz w:val="20"/>
      <w:szCs w:val="20"/>
    </w:rPr>
  </w:style>
  <w:style w:type="paragraph" w:styleId="778">
    <w:name w:val="Заголовок №1"/>
    <w:basedOn w:val="689"/>
    <w:next w:val="778"/>
    <w:link w:val="773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79">
    <w:name w:val="Другое"/>
    <w:basedOn w:val="689"/>
    <w:next w:val="779"/>
    <w:link w:val="774"/>
    <w:pPr>
      <w:widowControl w:val="off"/>
    </w:pPr>
    <w:rPr>
      <w:sz w:val="20"/>
      <w:szCs w:val="20"/>
    </w:rPr>
  </w:style>
  <w:style w:type="paragraph" w:styleId="780">
    <w:name w:val="Подпись к таблице"/>
    <w:basedOn w:val="689"/>
    <w:next w:val="780"/>
    <w:link w:val="775"/>
    <w:pPr>
      <w:widowControl w:val="off"/>
    </w:pPr>
    <w:rPr>
      <w:sz w:val="20"/>
      <w:szCs w:val="20"/>
    </w:rPr>
  </w:style>
  <w:style w:type="paragraph" w:styleId="781">
    <w:name w:val="Основной текст (2)1"/>
    <w:basedOn w:val="689"/>
    <w:next w:val="781"/>
    <w:link w:val="689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82">
    <w:name w:val="Основной текст (2) + 9 pt"/>
    <w:next w:val="782"/>
    <w:link w:val="689"/>
    <w:uiPriority w:val="99"/>
    <w:rPr>
      <w:rFonts w:cs="Times New Roman"/>
      <w:sz w:val="18"/>
      <w:szCs w:val="18"/>
      <w:shd w:val="clear" w:color="auto" w:fill="ffffff"/>
    </w:rPr>
  </w:style>
  <w:style w:type="character" w:styleId="783">
    <w:name w:val="Основной текст (2) + 9 pt2,Полужирный2,Курсив2"/>
    <w:next w:val="783"/>
    <w:link w:val="689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84">
    <w:name w:val="Основной текст (3)_"/>
    <w:next w:val="784"/>
    <w:link w:val="785"/>
    <w:rPr>
      <w:sz w:val="21"/>
      <w:szCs w:val="21"/>
      <w:shd w:val="clear" w:color="auto" w:fill="ffffff"/>
    </w:rPr>
  </w:style>
  <w:style w:type="paragraph" w:styleId="785">
    <w:name w:val="Основной текст (3)"/>
    <w:basedOn w:val="689"/>
    <w:next w:val="785"/>
    <w:link w:val="784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86">
    <w:name w:val="Основной текст3"/>
    <w:basedOn w:val="689"/>
    <w:next w:val="786"/>
    <w:link w:val="689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87">
    <w:name w:val="1"/>
    <w:basedOn w:val="689"/>
    <w:next w:val="787"/>
    <w:link w:val="689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88">
    <w:name w:val="Цитата"/>
    <w:basedOn w:val="689"/>
    <w:next w:val="788"/>
    <w:link w:val="689"/>
    <w:pPr>
      <w:ind w:left="851" w:right="1274"/>
      <w:jc w:val="center"/>
    </w:pPr>
    <w:rPr>
      <w:b/>
      <w:sz w:val="28"/>
      <w:szCs w:val="20"/>
    </w:rPr>
  </w:style>
  <w:style w:type="paragraph" w:styleId="789">
    <w:name w:val="formattext topleveltext"/>
    <w:basedOn w:val="689"/>
    <w:next w:val="789"/>
    <w:link w:val="689"/>
    <w:pPr>
      <w:spacing w:before="100" w:beforeAutospacing="1" w:after="100" w:afterAutospacing="1"/>
    </w:pPr>
  </w:style>
  <w:style w:type="paragraph" w:styleId="790">
    <w:name w:val="Абзац списка1"/>
    <w:basedOn w:val="689"/>
    <w:next w:val="790"/>
    <w:link w:val="689"/>
    <w:pPr>
      <w:ind w:left="720"/>
      <w:spacing w:line="276" w:lineRule="auto"/>
    </w:pPr>
  </w:style>
  <w:style w:type="paragraph" w:styleId="791">
    <w:name w:val="Standard"/>
    <w:next w:val="791"/>
    <w:link w:val="689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92">
    <w:name w:val="Сетка таблицы2"/>
    <w:basedOn w:val="700"/>
    <w:next w:val="702"/>
    <w:link w:val="689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93">
    <w:name w:val="Сетка таблицы3"/>
    <w:basedOn w:val="700"/>
    <w:next w:val="702"/>
    <w:link w:val="689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94">
    <w:name w:val="Прижатый влево"/>
    <w:basedOn w:val="689"/>
    <w:next w:val="689"/>
    <w:link w:val="689"/>
    <w:rPr>
      <w:rFonts w:ascii="Arial" w:hAnsi="Arial"/>
      <w:sz w:val="20"/>
      <w:szCs w:val="20"/>
    </w:rPr>
  </w:style>
  <w:style w:type="character" w:styleId="795">
    <w:name w:val="Абзац списка Знак,мой Знак"/>
    <w:next w:val="795"/>
    <w:link w:val="705"/>
    <w:uiPriority w:val="34"/>
    <w:rPr>
      <w:sz w:val="24"/>
      <w:szCs w:val="24"/>
    </w:rPr>
  </w:style>
  <w:style w:type="character" w:styleId="796">
    <w:name w:val="ListLabel 17"/>
    <w:next w:val="796"/>
    <w:link w:val="689"/>
  </w:style>
  <w:style w:type="character" w:styleId="3266" w:default="1">
    <w:name w:val="Default Paragraph Font"/>
    <w:uiPriority w:val="1"/>
    <w:semiHidden/>
    <w:unhideWhenUsed/>
  </w:style>
  <w:style w:type="numbering" w:styleId="3267" w:default="1">
    <w:name w:val="No List"/>
    <w:uiPriority w:val="99"/>
    <w:semiHidden/>
    <w:unhideWhenUsed/>
  </w:style>
  <w:style w:type="table" w:styleId="326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523</cp:revision>
  <dcterms:created xsi:type="dcterms:W3CDTF">2020-03-19T03:57:00Z</dcterms:created>
  <dcterms:modified xsi:type="dcterms:W3CDTF">2023-03-31T06:32:06Z</dcterms:modified>
  <cp:version>983040</cp:version>
</cp:coreProperties>
</file>