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13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№ 803</w:t>
            </w:r>
            <w:r/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right="4817"/>
        <w:jc w:val="both"/>
      </w:pPr>
      <w:r>
        <w:t xml:space="preserve">О внесении изменений в постановление администрации г. Сосновоборска от 22.01.2019 №70 «О мерах по обеспечению исполнения бюджета города Сосновоборска»</w:t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right="4817" w:firstLine="709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дополнительных мер по обеспечению исполнения бюджета города Сосновоборска, в соответствии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 статьями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"consultantplus://offline/ref=C360CDB23995479E1A0A3A08A14AE45D60B1AFC2F3C4FB069D8C38B1857FB20A22AC5CA88350904D6675576A23ECB9FA3D2564CF1A7C2AF8BCC5F4AC3Eg1D"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"consultantplus://offline/ref=C360CDB23995479E1A0A3A08A14AE45D60B1AFC2F3C4FB069D8C38B1857FB20A22AC5CA88350904D6675506E27ECB9FA3D2564CF1A7C2AF8BCC5F4AC3Eg1D"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38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Устава города Сосновоборска, </w:t>
      </w: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г. Сосновоборска от 22.01.2019 №70 «О мерах по обеспечению исполнения бюджета города Сосновоборска» следующие изменения: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2 дополнить абзацем следующего содержания: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«оплата в размере до 50 процентов от суммы договора (контракта), но не более лимитов бюджет</w:t>
      </w:r>
      <w:r>
        <w:rPr>
          <w:sz w:val="28"/>
          <w:szCs w:val="28"/>
        </w:rPr>
        <w:t xml:space="preserve">ных обязательств, подлежащих исполнению за счет средств бюджета города в соответствующем финансовом году на выполнение работ по строительству, реконструкции, инженерным изысканиям, подготовке проектной документации по объектам капитального строительства.».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а) дополнить абзацем следующего содержания: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допускать образования просроченной кредиторской задолженности по принятым бюджетным</w:t>
      </w:r>
      <w:r>
        <w:rPr>
          <w:sz w:val="28"/>
          <w:szCs w:val="28"/>
        </w:rPr>
        <w:t xml:space="preserve"> обязательствам, а также принимать меры по недопущению образования просроченной кредиторской задолженности у муниципальных учреждений.»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б) дополнить абзацем следующего содержания: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«представлять в Финансовое Управление администрации города Сосновоборска информацию о потребности на очередной месяц в средствах местного бюджета не позднее 23 числа текущего месяца.»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г) следующего содержания: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муниципальному казенному учреждению «Управление капитального строительства и жилищно-коммунального хозяйства» г</w:t>
      </w:r>
      <w:r>
        <w:rPr>
          <w:sz w:val="28"/>
          <w:szCs w:val="28"/>
        </w:rPr>
        <w:t xml:space="preserve">.Сосновоборска представлять ежеквартально по форме, разработанной Финансовым Управлением администрации города Сосновоборска, информацию о расходах на содержание общественных пространств, в срок не позднее 15 числа месяца, следующего за отчетным кварталом.»</w:t>
      </w:r>
      <w:r>
        <w:rPr>
          <w:sz w:val="28"/>
          <w:szCs w:val="28"/>
        </w:rPr>
        <w:t xml:space="preserve"> 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4 исключить. Пункты 5-6 считать пунктами 4-5 соответственно.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</w:t>
      </w:r>
      <w:r>
        <w:rPr>
          <w:sz w:val="28"/>
          <w:szCs w:val="28"/>
        </w:rPr>
        <w:t xml:space="preserve">тановление вступает в силу в день, следующий за днем</w:t>
      </w:r>
      <w:r>
        <w:rPr>
          <w:sz w:val="28"/>
          <w:szCs w:val="28"/>
        </w:rPr>
        <w:t xml:space="preserve"> его официального опубликования в городской газете «Рабочий».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10" w:hanging="51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968" w:hanging="21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1022" w:default="1">
    <w:name w:val="Default Paragraph Font"/>
    <w:uiPriority w:val="1"/>
    <w:semiHidden/>
    <w:unhideWhenUsed/>
  </w:style>
  <w:style w:type="numbering" w:styleId="1023" w:default="1">
    <w:name w:val="No List"/>
    <w:uiPriority w:val="99"/>
    <w:semiHidden/>
    <w:unhideWhenUsed/>
  </w:style>
  <w:style w:type="table" w:styleId="10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2023-06-13T02:39:17Z</dcterms:modified>
  <cp:version>1048576</cp:version>
</cp:coreProperties>
</file>