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0" w:after="0"/>
        <w:contextualSpacing/>
        <w:rPr/>
      </w:pPr>
      <w:r>
        <w:rPr/>
        <w:drawing>
          <wp:inline distT="0" distB="0" distL="0" distR="0">
            <wp:extent cx="54292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СОСНОВОБОРСКИЙ ГОРОДСКОЙ СОВЕТ ДЕПУТАТОВ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№ 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г. Сосновоборск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0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77"/>
        <w:gridCol w:w="4826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решение Сосновоборского городского Совета депутатов от 25.04.2018 №28/117-р «О бюджетном процессе в городе Сосновоборске»</w:t>
            </w:r>
          </w:p>
        </w:tc>
        <w:tc>
          <w:tcPr>
            <w:tcW w:w="4826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ab/>
        <w:t xml:space="preserve">В целях приведения действующего Положения о бюджетном процессе в городе Сосновоборске </w:t>
      </w:r>
      <w:r>
        <w:rPr>
          <w:rFonts w:cs="Times New Roman" w:ascii="Times New Roman" w:hAnsi="Times New Roman"/>
          <w:sz w:val="28"/>
          <w:szCs w:val="28"/>
        </w:rPr>
        <w:t>в соответствие с Бюджетным кодексом Российской Федерации, руководствуясь ст. 24, 32 Устава города Сосновоборска, Сосновоборский городской Совет депутатов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Сосновоборского городского Совета депутатов от 25.04.2018 № 28/117-р «О бюджетном процессе в городе Сосновоборске» (в редакции от 23.09.2019 № 45/177-р, от 17.12.2019 № 48/194-р, от 22.06.2020 № 54/212-р, от 19.10.2020 № 3/7-р, от 06.12.2021 № 14/52-р) (в приложение к решению) следующие изменения: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Абзац пятый подпункта 1.2 пункта 1 статьи 9 «Муниципальный  долг города Сосновоборска. Структура муниципального долга города Сосновоборска. Верхний предел муниципального долга города Сосновоборска» 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«– объем обязательств, вытекающих из муниципальных гарантий </w:t>
      </w:r>
      <w:r>
        <w:rPr>
          <w:rFonts w:cs="Times New Roman" w:ascii="Times New Roman" w:hAnsi="Times New Roman"/>
          <w:sz w:val="28"/>
          <w:szCs w:val="28"/>
          <w:lang w:eastAsia="ru-RU"/>
        </w:rPr>
        <w:t>в валюте Российской Федерации</w:t>
      </w:r>
      <w:r>
        <w:rPr>
          <w:rFonts w:cs="Times New Roman" w:ascii="Times New Roman" w:hAnsi="Times New Roman"/>
          <w:sz w:val="28"/>
          <w:szCs w:val="28"/>
        </w:rPr>
        <w:t>;</w:t>
      </w:r>
      <w:r>
        <w:rPr>
          <w:rFonts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1.2.  Статьи 15,17,18,19,20  признать утратившим силу;</w:t>
      </w:r>
    </w:p>
    <w:p>
      <w:pPr>
        <w:pStyle w:val="Normal"/>
        <w:ind w:firstLine="567"/>
        <w:jc w:val="both"/>
        <w:rPr>
          <w:rFonts w:ascii="Cambria" w:hAnsi="Cambria" w:eastAsia="Times New Roman" w:cs="Times New Roman" w:asciiTheme="majorHAnsi" w:hAnsiTheme="majorHAnsi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1.3.  </w:t>
      </w:r>
      <w:hyperlink r:id="rId3">
        <w:r>
          <w:rPr>
            <w:rFonts w:eastAsia="Times New Roman" w:cs="Times New Roman" w:ascii="Cambria" w:hAnsi="Cambria" w:asciiTheme="majorHAnsi" w:hAnsiTheme="majorHAnsi"/>
            <w:sz w:val="28"/>
            <w:szCs w:val="28"/>
            <w:lang w:eastAsia="ru-RU"/>
          </w:rPr>
          <w:t>Дополнить</w:t>
        </w:r>
      </w:hyperlink>
      <w:r>
        <w:rPr>
          <w:rFonts w:eastAsia="Times New Roman" w:cs="Times New Roman" w:ascii="Cambria" w:hAnsi="Cambria" w:asciiTheme="majorHAnsi" w:hAnsiTheme="majorHAnsi"/>
          <w:sz w:val="28"/>
          <w:szCs w:val="28"/>
          <w:lang w:eastAsia="ru-RU"/>
        </w:rPr>
        <w:t xml:space="preserve"> статьей 15.1 следующего содержания: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 w:asciiTheme="majorHAnsi" w:hAnsiTheme="majorHAnsi"/>
          <w:sz w:val="28"/>
          <w:szCs w:val="28"/>
          <w:lang w:eastAsia="ru-RU"/>
        </w:rPr>
        <w:t>"Статья 15.1. Бюджет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ные полномочия иных участников бюджетного процесса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Бюджетные полномочия контрольно-счетного органа города Сосновоборска определяются Бюджетным </w:t>
      </w:r>
      <w:hyperlink r:id="rId4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Российской Федерации, иными нормативными правовыми актами бюджетного законодательства Российской Федерации, настоящим решением и иными решениями органа местного самоуправления.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Бюджетные полномочия главных распорядителей (распорядителей), получателей средств бюджета, главных администраторов (администраторов) доходов бюджета, и иных участников бюджетного процесса определяются в соответствии с Бюджетным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правоотношения.".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В пункт 1 ст. 30 после слов "городской Совет" добавить слова ", Контрольно-счетный орган".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1.5. Пункт </w:t>
      </w:r>
      <w:r>
        <w:rPr>
          <w:rFonts w:cs="Times New Roman" w:ascii="Times New Roman" w:hAnsi="Times New Roman"/>
          <w:sz w:val="28"/>
          <w:szCs w:val="28"/>
        </w:rPr>
        <w:t>2 ст. 32 изложить в новой редакции: "2. Внешняя проверка годового отчета об исполнении бюджета города осуществляется Контрольно-счетным органом города Сосновоборска в порядке, установленном настоящим положением, с соблюдением требований Бюджетного кодекса РФ и с учетом особенностей, установленных федеральными Законами.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Главные администраторы (администраторы) бюджетных средств представляют в Контрольно-счетный орган годовую бюджетную отчетность на бумажных носителях и в виде электронного документа для внешней проверки не позднее 1 марта текущего года.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города представляет годовой отчет об исполнении бюджета города для подготовки заключения на него Контрольно-счетным органом не позднее 1 апреля текущего года.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 для осуществления внешней проверки годового отчета об исполнении бюджета города вправе запрашивать информацию об исполнении городского бюджета у главных администраторов бюджетных средств.".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решения возложить на постоянную комиссию по бюджетным вопросам Сосновоборского городского Совета депутатов (А.В. Батурин).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3. Решение вступает в силу со дня его официального опубликования в городской газете «Рабочий».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7"/>
        <w:gridCol w:w="5029"/>
      </w:tblGrid>
      <w:tr>
        <w:trPr>
          <w:trHeight w:val="1561" w:hRule="atLeast"/>
        </w:trPr>
        <w:tc>
          <w:tcPr>
            <w:tcW w:w="5107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Председатель Сосновоборского </w:t>
              <w:br/>
              <w:t>городского Совета депутатов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Б.М.Пучкин</w:t>
            </w:r>
          </w:p>
        </w:tc>
        <w:tc>
          <w:tcPr>
            <w:tcW w:w="502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Глава города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                        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6"/>
      <w:type w:val="nextPage"/>
      <w:pgSz w:w="11906" w:h="16838"/>
      <w:pgMar w:left="1134" w:right="851" w:gutter="0" w:header="709" w:top="851" w:footer="0" w:bottom="851"/>
      <w:pgNumType w:start="48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right"/>
      <w:rPr/>
    </w:pPr>
    <w:sdt>
      <w:sdtPr>
        <w:id w:val="1884568525"/>
      </w:sdtPr>
      <w:sdtContent>
        <w:r>
          <w:rPr/>
          <w:t xml:space="preserve">     </w:t>
        </w:r>
      </w:sdtContent>
    </w:sdt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caf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1"/>
    <w:uiPriority w:val="99"/>
    <w:qFormat/>
    <w:locked/>
    <w:rsid w:val="00e20127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c47ddb"/>
    <w:rPr>
      <w:rFonts w:ascii="Tahoma" w:hAnsi="Tahoma" w:cs="Tahoma"/>
      <w:sz w:val="16"/>
      <w:szCs w:val="16"/>
      <w:lang w:eastAsia="en-US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a154a"/>
    <w:rPr>
      <w:rFonts w:cs="Calibri"/>
      <w:lang w:eastAsia="en-US"/>
    </w:rPr>
  </w:style>
  <w:style w:type="character" w:styleId="Style15" w:customStyle="1">
    <w:name w:val="Нижний колонтитул Знак"/>
    <w:basedOn w:val="DefaultParagraphFont"/>
    <w:uiPriority w:val="99"/>
    <w:qFormat/>
    <w:rsid w:val="000a154a"/>
    <w:rPr>
      <w:rFonts w:cs="Calibri"/>
      <w:lang w:eastAsia="en-US"/>
    </w:rPr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781967"/>
    <w:pPr>
      <w:ind w:left="720" w:hanging="0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c47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86416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a70110"/>
    <w:pPr>
      <w:widowControl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0a15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0a15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RLAW123&amp;n=198763&amp;dst=100011&amp;field=134&amp;date=30.09.2022" TargetMode="External"/><Relationship Id="rId4" Type="http://schemas.openxmlformats.org/officeDocument/2006/relationships/hyperlink" Target="https://login.consultant.ru/link/?req=doc&amp;base=LAW&amp;n=220519&amp;date=30.09.2022" TargetMode="External"/><Relationship Id="rId5" Type="http://schemas.openxmlformats.org/officeDocument/2006/relationships/hyperlink" Target="https://login.consultant.ru/link/?req=doc&amp;base=LAW&amp;n=220519&amp;date=30.09.2022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3607-81E6-4BB0-99B1-D777B97A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LibreOffice/7.4.2.3$Windows_X86_64 LibreOffice_project/382eef1f22670f7f4118c8c2dd222ec7ad009daf</Application>
  <AppVersion>15.0000</AppVersion>
  <Pages>2</Pages>
  <Words>405</Words>
  <Characters>2943</Characters>
  <CharactersWithSpaces>3533</CharactersWithSpaces>
  <Paragraphs>29</Paragraphs>
  <Company>ГФУ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2022-09-30T09:51:00Z</dcterms:created>
  <dc:creator>Ольга</dc:creator>
  <dc:description/>
  <dc:language>ru-RU</dc:language>
  <cp:lastModifiedBy/>
  <cp:lastPrinted>2022-11-24T02:32:00Z</cp:lastPrinted>
  <dcterms:modified xsi:type="dcterms:W3CDTF">2022-11-24T14:32:23Z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